
<file path=[Content_Types].xml><?xml version="1.0" encoding="utf-8"?>
<Types xmlns="http://schemas.openxmlformats.org/package/2006/content-types">
  <Default Extension="xml" ContentType="application/xml"/>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F67536" w14:textId="772FAAC5" w:rsidR="00C27DC4" w:rsidRDefault="00C34E7A" w:rsidP="00C34E7A">
      <w:pPr>
        <w:pStyle w:val="Title"/>
      </w:pPr>
      <w:bookmarkStart w:id="0" w:name="_Toc305962872"/>
      <w:bookmarkStart w:id="1" w:name="_Toc307564424"/>
      <w:r>
        <w:t xml:space="preserve">Supplementary </w:t>
      </w:r>
      <w:r w:rsidR="00E063E5">
        <w:t>Appendix</w:t>
      </w:r>
    </w:p>
    <w:sdt>
      <w:sdtPr>
        <w:rPr>
          <w:rFonts w:ascii="Arial" w:eastAsia="Cambria" w:hAnsi="Arial" w:cs="Times New Roman"/>
          <w:b w:val="0"/>
          <w:bCs w:val="0"/>
          <w:sz w:val="22"/>
          <w:szCs w:val="24"/>
        </w:rPr>
        <w:id w:val="-1250970406"/>
        <w:docPartObj>
          <w:docPartGallery w:val="Table of Contents"/>
          <w:docPartUnique/>
        </w:docPartObj>
      </w:sdtPr>
      <w:sdtEndPr>
        <w:rPr>
          <w:noProof/>
        </w:rPr>
      </w:sdtEndPr>
      <w:sdtContent>
        <w:p w14:paraId="5EFB851D" w14:textId="77777777" w:rsidR="00C34E7A" w:rsidRDefault="00C34E7A" w:rsidP="00C34E7A">
          <w:pPr>
            <w:pStyle w:val="TOCHeading"/>
          </w:pPr>
          <w:r>
            <w:t>Table of Contents</w:t>
          </w:r>
        </w:p>
        <w:p w14:paraId="1F6A03B1" w14:textId="77777777" w:rsidR="00A05ECB" w:rsidRDefault="0098788A">
          <w:pPr>
            <w:pStyle w:val="TOC1"/>
            <w:tabs>
              <w:tab w:val="right" w:leader="dot" w:pos="8630"/>
            </w:tabs>
            <w:rPr>
              <w:rFonts w:asciiTheme="minorHAnsi" w:eastAsiaTheme="minorEastAsia" w:hAnsiTheme="minorHAnsi" w:cstheme="minorBidi"/>
              <w:b w:val="0"/>
              <w:noProof/>
              <w:lang w:val="en-CA" w:eastAsia="ja-JP"/>
            </w:rPr>
          </w:pPr>
          <w:r>
            <w:rPr>
              <w:b w:val="0"/>
            </w:rPr>
            <w:fldChar w:fldCharType="begin"/>
          </w:r>
          <w:r w:rsidR="00C34E7A">
            <w:instrText xml:space="preserve"> TOC \o "1-3" \h \z \u </w:instrText>
          </w:r>
          <w:r>
            <w:rPr>
              <w:b w:val="0"/>
            </w:rPr>
            <w:fldChar w:fldCharType="separate"/>
          </w:r>
          <w:r w:rsidR="00A05ECB">
            <w:rPr>
              <w:noProof/>
            </w:rPr>
            <w:t>Supplementary Experimental Methods</w:t>
          </w:r>
          <w:r w:rsidR="00A05ECB">
            <w:rPr>
              <w:noProof/>
            </w:rPr>
            <w:tab/>
          </w:r>
          <w:r w:rsidR="00A05ECB">
            <w:rPr>
              <w:noProof/>
            </w:rPr>
            <w:fldChar w:fldCharType="begin"/>
          </w:r>
          <w:r w:rsidR="00A05ECB">
            <w:rPr>
              <w:noProof/>
            </w:rPr>
            <w:instrText xml:space="preserve"> PAGEREF _Toc352927137 \h </w:instrText>
          </w:r>
          <w:r w:rsidR="00A05ECB">
            <w:rPr>
              <w:noProof/>
            </w:rPr>
          </w:r>
          <w:r w:rsidR="00A05ECB">
            <w:rPr>
              <w:noProof/>
            </w:rPr>
            <w:fldChar w:fldCharType="separate"/>
          </w:r>
          <w:r w:rsidR="00A05ECB">
            <w:rPr>
              <w:noProof/>
            </w:rPr>
            <w:t>2</w:t>
          </w:r>
          <w:r w:rsidR="00A05ECB">
            <w:rPr>
              <w:noProof/>
            </w:rPr>
            <w:fldChar w:fldCharType="end"/>
          </w:r>
        </w:p>
        <w:p w14:paraId="411C4ED4"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Cytogenetic Risk Assessments</w:t>
          </w:r>
          <w:r>
            <w:rPr>
              <w:noProof/>
            </w:rPr>
            <w:tab/>
          </w:r>
          <w:r>
            <w:rPr>
              <w:noProof/>
            </w:rPr>
            <w:fldChar w:fldCharType="begin"/>
          </w:r>
          <w:r>
            <w:rPr>
              <w:noProof/>
            </w:rPr>
            <w:instrText xml:space="preserve"> PAGEREF _Toc352927138 \h </w:instrText>
          </w:r>
          <w:r>
            <w:rPr>
              <w:noProof/>
            </w:rPr>
          </w:r>
          <w:r>
            <w:rPr>
              <w:noProof/>
            </w:rPr>
            <w:fldChar w:fldCharType="separate"/>
          </w:r>
          <w:r>
            <w:rPr>
              <w:noProof/>
            </w:rPr>
            <w:t>2</w:t>
          </w:r>
          <w:r>
            <w:rPr>
              <w:noProof/>
            </w:rPr>
            <w:fldChar w:fldCharType="end"/>
          </w:r>
        </w:p>
        <w:p w14:paraId="7608F753"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Library construction and sequencing of miRNA-seq Illumina libraries</w:t>
          </w:r>
          <w:r>
            <w:rPr>
              <w:noProof/>
            </w:rPr>
            <w:tab/>
          </w:r>
          <w:r>
            <w:rPr>
              <w:noProof/>
            </w:rPr>
            <w:fldChar w:fldCharType="begin"/>
          </w:r>
          <w:r>
            <w:rPr>
              <w:noProof/>
            </w:rPr>
            <w:instrText xml:space="preserve"> PAGEREF _Toc352927139 \h </w:instrText>
          </w:r>
          <w:r>
            <w:rPr>
              <w:noProof/>
            </w:rPr>
          </w:r>
          <w:r>
            <w:rPr>
              <w:noProof/>
            </w:rPr>
            <w:fldChar w:fldCharType="separate"/>
          </w:r>
          <w:r>
            <w:rPr>
              <w:noProof/>
            </w:rPr>
            <w:t>2</w:t>
          </w:r>
          <w:r>
            <w:rPr>
              <w:noProof/>
            </w:rPr>
            <w:fldChar w:fldCharType="end"/>
          </w:r>
        </w:p>
        <w:p w14:paraId="510522F6"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Library construction and sequencing of mRNA-seq Illumina libraries</w:t>
          </w:r>
          <w:r>
            <w:rPr>
              <w:noProof/>
            </w:rPr>
            <w:tab/>
          </w:r>
          <w:r>
            <w:rPr>
              <w:noProof/>
            </w:rPr>
            <w:fldChar w:fldCharType="begin"/>
          </w:r>
          <w:r>
            <w:rPr>
              <w:noProof/>
            </w:rPr>
            <w:instrText xml:space="preserve"> PAGEREF _Toc352927140 \h </w:instrText>
          </w:r>
          <w:r>
            <w:rPr>
              <w:noProof/>
            </w:rPr>
          </w:r>
          <w:r>
            <w:rPr>
              <w:noProof/>
            </w:rPr>
            <w:fldChar w:fldCharType="separate"/>
          </w:r>
          <w:r>
            <w:rPr>
              <w:noProof/>
            </w:rPr>
            <w:t>2</w:t>
          </w:r>
          <w:r>
            <w:rPr>
              <w:noProof/>
            </w:rPr>
            <w:fldChar w:fldCharType="end"/>
          </w:r>
        </w:p>
        <w:p w14:paraId="4D1B224A"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Novel miRNA Discovery</w:t>
          </w:r>
          <w:r>
            <w:rPr>
              <w:noProof/>
            </w:rPr>
            <w:tab/>
          </w:r>
          <w:r>
            <w:rPr>
              <w:noProof/>
            </w:rPr>
            <w:fldChar w:fldCharType="begin"/>
          </w:r>
          <w:r>
            <w:rPr>
              <w:noProof/>
            </w:rPr>
            <w:instrText xml:space="preserve"> PAGEREF _Toc352927141 \h </w:instrText>
          </w:r>
          <w:r>
            <w:rPr>
              <w:noProof/>
            </w:rPr>
          </w:r>
          <w:r>
            <w:rPr>
              <w:noProof/>
            </w:rPr>
            <w:fldChar w:fldCharType="separate"/>
          </w:r>
          <w:r>
            <w:rPr>
              <w:noProof/>
            </w:rPr>
            <w:t>3</w:t>
          </w:r>
          <w:r>
            <w:rPr>
              <w:noProof/>
            </w:rPr>
            <w:fldChar w:fldCharType="end"/>
          </w:r>
        </w:p>
        <w:p w14:paraId="24FF5271"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mRNA isoform-specific expression profiling of mRNA-seq</w:t>
          </w:r>
          <w:r>
            <w:rPr>
              <w:noProof/>
            </w:rPr>
            <w:tab/>
          </w:r>
          <w:r>
            <w:rPr>
              <w:noProof/>
            </w:rPr>
            <w:fldChar w:fldCharType="begin"/>
          </w:r>
          <w:r>
            <w:rPr>
              <w:noProof/>
            </w:rPr>
            <w:instrText xml:space="preserve"> PAGEREF _Toc352927142 \h </w:instrText>
          </w:r>
          <w:r>
            <w:rPr>
              <w:noProof/>
            </w:rPr>
          </w:r>
          <w:r>
            <w:rPr>
              <w:noProof/>
            </w:rPr>
            <w:fldChar w:fldCharType="separate"/>
          </w:r>
          <w:r>
            <w:rPr>
              <w:noProof/>
            </w:rPr>
            <w:t>4</w:t>
          </w:r>
          <w:r>
            <w:rPr>
              <w:noProof/>
            </w:rPr>
            <w:fldChar w:fldCharType="end"/>
          </w:r>
        </w:p>
        <w:p w14:paraId="720A7F8E"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NMF clustering of miRNA expression</w:t>
          </w:r>
          <w:r>
            <w:rPr>
              <w:noProof/>
            </w:rPr>
            <w:tab/>
          </w:r>
          <w:r>
            <w:rPr>
              <w:noProof/>
            </w:rPr>
            <w:fldChar w:fldCharType="begin"/>
          </w:r>
          <w:r>
            <w:rPr>
              <w:noProof/>
            </w:rPr>
            <w:instrText xml:space="preserve"> PAGEREF _Toc352927143 \h </w:instrText>
          </w:r>
          <w:r>
            <w:rPr>
              <w:noProof/>
            </w:rPr>
          </w:r>
          <w:r>
            <w:rPr>
              <w:noProof/>
            </w:rPr>
            <w:fldChar w:fldCharType="separate"/>
          </w:r>
          <w:r>
            <w:rPr>
              <w:noProof/>
            </w:rPr>
            <w:t>4</w:t>
          </w:r>
          <w:r>
            <w:rPr>
              <w:noProof/>
            </w:rPr>
            <w:fldChar w:fldCharType="end"/>
          </w:r>
        </w:p>
        <w:p w14:paraId="17CC67DE"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Differential expression analysis</w:t>
          </w:r>
          <w:r>
            <w:rPr>
              <w:noProof/>
            </w:rPr>
            <w:tab/>
          </w:r>
          <w:r>
            <w:rPr>
              <w:noProof/>
            </w:rPr>
            <w:fldChar w:fldCharType="begin"/>
          </w:r>
          <w:r>
            <w:rPr>
              <w:noProof/>
            </w:rPr>
            <w:instrText xml:space="preserve"> PAGEREF _Toc352927144 \h </w:instrText>
          </w:r>
          <w:r>
            <w:rPr>
              <w:noProof/>
            </w:rPr>
          </w:r>
          <w:r>
            <w:rPr>
              <w:noProof/>
            </w:rPr>
            <w:fldChar w:fldCharType="separate"/>
          </w:r>
          <w:r>
            <w:rPr>
              <w:noProof/>
            </w:rPr>
            <w:t>4</w:t>
          </w:r>
          <w:r>
            <w:rPr>
              <w:noProof/>
            </w:rPr>
            <w:fldChar w:fldCharType="end"/>
          </w:r>
        </w:p>
        <w:p w14:paraId="17B97E1A"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Integrative miRNA:mRNA expression analysis</w:t>
          </w:r>
          <w:r>
            <w:rPr>
              <w:noProof/>
            </w:rPr>
            <w:tab/>
          </w:r>
          <w:r>
            <w:rPr>
              <w:noProof/>
            </w:rPr>
            <w:fldChar w:fldCharType="begin"/>
          </w:r>
          <w:r>
            <w:rPr>
              <w:noProof/>
            </w:rPr>
            <w:instrText xml:space="preserve"> PAGEREF _Toc352927145 \h </w:instrText>
          </w:r>
          <w:r>
            <w:rPr>
              <w:noProof/>
            </w:rPr>
          </w:r>
          <w:r>
            <w:rPr>
              <w:noProof/>
            </w:rPr>
            <w:fldChar w:fldCharType="separate"/>
          </w:r>
          <w:r>
            <w:rPr>
              <w:noProof/>
            </w:rPr>
            <w:t>5</w:t>
          </w:r>
          <w:r>
            <w:rPr>
              <w:noProof/>
            </w:rPr>
            <w:fldChar w:fldCharType="end"/>
          </w:r>
        </w:p>
        <w:p w14:paraId="422765BD"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Survival analysis</w:t>
          </w:r>
          <w:r>
            <w:rPr>
              <w:noProof/>
            </w:rPr>
            <w:tab/>
          </w:r>
          <w:r>
            <w:rPr>
              <w:noProof/>
            </w:rPr>
            <w:fldChar w:fldCharType="begin"/>
          </w:r>
          <w:r>
            <w:rPr>
              <w:noProof/>
            </w:rPr>
            <w:instrText xml:space="preserve"> PAGEREF _Toc352927146 \h </w:instrText>
          </w:r>
          <w:r>
            <w:rPr>
              <w:noProof/>
            </w:rPr>
          </w:r>
          <w:r>
            <w:rPr>
              <w:noProof/>
            </w:rPr>
            <w:fldChar w:fldCharType="separate"/>
          </w:r>
          <w:r>
            <w:rPr>
              <w:noProof/>
            </w:rPr>
            <w:t>5</w:t>
          </w:r>
          <w:r>
            <w:rPr>
              <w:noProof/>
            </w:rPr>
            <w:fldChar w:fldCharType="end"/>
          </w:r>
        </w:p>
        <w:p w14:paraId="7C76E9A2" w14:textId="77777777" w:rsidR="00A05ECB" w:rsidRDefault="00A05ECB">
          <w:pPr>
            <w:pStyle w:val="TOC2"/>
            <w:tabs>
              <w:tab w:val="right" w:leader="dot" w:pos="8630"/>
            </w:tabs>
            <w:rPr>
              <w:rFonts w:asciiTheme="minorHAnsi" w:eastAsiaTheme="minorEastAsia" w:hAnsiTheme="minorHAnsi" w:cstheme="minorBidi"/>
              <w:b w:val="0"/>
              <w:noProof/>
              <w:sz w:val="24"/>
              <w:szCs w:val="24"/>
              <w:lang w:val="en-CA" w:eastAsia="ja-JP"/>
            </w:rPr>
          </w:pPr>
          <w:r>
            <w:rPr>
              <w:noProof/>
            </w:rPr>
            <w:t>Development of the miRNA-based EFS predictive model</w:t>
          </w:r>
          <w:r>
            <w:rPr>
              <w:noProof/>
            </w:rPr>
            <w:tab/>
          </w:r>
          <w:r>
            <w:rPr>
              <w:noProof/>
            </w:rPr>
            <w:fldChar w:fldCharType="begin"/>
          </w:r>
          <w:r>
            <w:rPr>
              <w:noProof/>
            </w:rPr>
            <w:instrText xml:space="preserve"> PAGEREF _Toc352927147 \h </w:instrText>
          </w:r>
          <w:r>
            <w:rPr>
              <w:noProof/>
            </w:rPr>
          </w:r>
          <w:r>
            <w:rPr>
              <w:noProof/>
            </w:rPr>
            <w:fldChar w:fldCharType="separate"/>
          </w:r>
          <w:r>
            <w:rPr>
              <w:noProof/>
            </w:rPr>
            <w:t>6</w:t>
          </w:r>
          <w:r>
            <w:rPr>
              <w:noProof/>
            </w:rPr>
            <w:fldChar w:fldCharType="end"/>
          </w:r>
        </w:p>
        <w:p w14:paraId="78EDF438" w14:textId="77777777" w:rsidR="00A05ECB" w:rsidRDefault="00A05ECB">
          <w:pPr>
            <w:pStyle w:val="TOC1"/>
            <w:tabs>
              <w:tab w:val="right" w:leader="dot" w:pos="8630"/>
            </w:tabs>
            <w:rPr>
              <w:rFonts w:asciiTheme="minorHAnsi" w:eastAsiaTheme="minorEastAsia" w:hAnsiTheme="minorHAnsi" w:cstheme="minorBidi"/>
              <w:b w:val="0"/>
              <w:noProof/>
              <w:lang w:val="en-CA" w:eastAsia="ja-JP"/>
            </w:rPr>
          </w:pPr>
          <w:r>
            <w:rPr>
              <w:noProof/>
            </w:rPr>
            <w:t>Supplementary Figures</w:t>
          </w:r>
          <w:r>
            <w:rPr>
              <w:noProof/>
            </w:rPr>
            <w:tab/>
          </w:r>
          <w:r>
            <w:rPr>
              <w:noProof/>
            </w:rPr>
            <w:fldChar w:fldCharType="begin"/>
          </w:r>
          <w:r>
            <w:rPr>
              <w:noProof/>
            </w:rPr>
            <w:instrText xml:space="preserve"> PAGEREF _Toc352927148 \h </w:instrText>
          </w:r>
          <w:r>
            <w:rPr>
              <w:noProof/>
            </w:rPr>
          </w:r>
          <w:r>
            <w:rPr>
              <w:noProof/>
            </w:rPr>
            <w:fldChar w:fldCharType="separate"/>
          </w:r>
          <w:r>
            <w:rPr>
              <w:noProof/>
            </w:rPr>
            <w:t>9</w:t>
          </w:r>
          <w:r>
            <w:rPr>
              <w:noProof/>
            </w:rPr>
            <w:fldChar w:fldCharType="end"/>
          </w:r>
        </w:p>
        <w:p w14:paraId="5BBEF8A9"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S1 – Unsupervised NMF clustering of miRNA expression profiles of primary samples.</w:t>
          </w:r>
          <w:r>
            <w:rPr>
              <w:noProof/>
            </w:rPr>
            <w:tab/>
          </w:r>
          <w:r>
            <w:rPr>
              <w:noProof/>
            </w:rPr>
            <w:fldChar w:fldCharType="begin"/>
          </w:r>
          <w:r>
            <w:rPr>
              <w:noProof/>
            </w:rPr>
            <w:instrText xml:space="preserve"> PAGEREF _Toc352927149 \h </w:instrText>
          </w:r>
          <w:r>
            <w:rPr>
              <w:noProof/>
            </w:rPr>
          </w:r>
          <w:r>
            <w:rPr>
              <w:noProof/>
            </w:rPr>
            <w:fldChar w:fldCharType="separate"/>
          </w:r>
          <w:r>
            <w:rPr>
              <w:noProof/>
            </w:rPr>
            <w:t>9</w:t>
          </w:r>
          <w:r>
            <w:rPr>
              <w:noProof/>
            </w:rPr>
            <w:fldChar w:fldCharType="end"/>
          </w:r>
        </w:p>
        <w:p w14:paraId="48565006"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S2 – miRNA k2-15 NMF metrics.</w:t>
          </w:r>
          <w:r>
            <w:rPr>
              <w:noProof/>
            </w:rPr>
            <w:tab/>
          </w:r>
          <w:r>
            <w:rPr>
              <w:noProof/>
            </w:rPr>
            <w:fldChar w:fldCharType="begin"/>
          </w:r>
          <w:r>
            <w:rPr>
              <w:noProof/>
            </w:rPr>
            <w:instrText xml:space="preserve"> PAGEREF _Toc352927150 \h </w:instrText>
          </w:r>
          <w:r>
            <w:rPr>
              <w:noProof/>
            </w:rPr>
          </w:r>
          <w:r>
            <w:rPr>
              <w:noProof/>
            </w:rPr>
            <w:fldChar w:fldCharType="separate"/>
          </w:r>
          <w:r>
            <w:rPr>
              <w:noProof/>
            </w:rPr>
            <w:t>11</w:t>
          </w:r>
          <w:r>
            <w:rPr>
              <w:noProof/>
            </w:rPr>
            <w:fldChar w:fldCharType="end"/>
          </w:r>
        </w:p>
        <w:p w14:paraId="3248CDD9"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S3 – miRNAs associated with patient overall survival (OS) and event free survival (EFS)</w:t>
          </w:r>
          <w:r>
            <w:rPr>
              <w:noProof/>
            </w:rPr>
            <w:tab/>
          </w:r>
          <w:r>
            <w:rPr>
              <w:noProof/>
            </w:rPr>
            <w:fldChar w:fldCharType="begin"/>
          </w:r>
          <w:r>
            <w:rPr>
              <w:noProof/>
            </w:rPr>
            <w:instrText xml:space="preserve"> PAGEREF _Toc352927151 \h </w:instrText>
          </w:r>
          <w:r>
            <w:rPr>
              <w:noProof/>
            </w:rPr>
          </w:r>
          <w:r>
            <w:rPr>
              <w:noProof/>
            </w:rPr>
            <w:fldChar w:fldCharType="separate"/>
          </w:r>
          <w:r>
            <w:rPr>
              <w:noProof/>
            </w:rPr>
            <w:t>13</w:t>
          </w:r>
          <w:r>
            <w:rPr>
              <w:noProof/>
            </w:rPr>
            <w:fldChar w:fldCharType="end"/>
          </w:r>
        </w:p>
        <w:p w14:paraId="2E0DC53D"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S4 – Cytogenetic/Molecular Standard Risk Cases Are Further Classified By AMLmiR36</w:t>
          </w:r>
          <w:r>
            <w:rPr>
              <w:noProof/>
            </w:rPr>
            <w:tab/>
          </w:r>
          <w:r>
            <w:rPr>
              <w:noProof/>
            </w:rPr>
            <w:fldChar w:fldCharType="begin"/>
          </w:r>
          <w:r>
            <w:rPr>
              <w:noProof/>
            </w:rPr>
            <w:instrText xml:space="preserve"> PAGEREF _Toc352927152 \h </w:instrText>
          </w:r>
          <w:r>
            <w:rPr>
              <w:noProof/>
            </w:rPr>
          </w:r>
          <w:r>
            <w:rPr>
              <w:noProof/>
            </w:rPr>
            <w:fldChar w:fldCharType="separate"/>
          </w:r>
          <w:r>
            <w:rPr>
              <w:noProof/>
            </w:rPr>
            <w:t>15</w:t>
          </w:r>
          <w:r>
            <w:rPr>
              <w:noProof/>
            </w:rPr>
            <w:fldChar w:fldCharType="end"/>
          </w:r>
        </w:p>
        <w:p w14:paraId="615492F8"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S5 – Identifying miRNA:mRNA expression correlations.</w:t>
          </w:r>
          <w:r>
            <w:rPr>
              <w:noProof/>
            </w:rPr>
            <w:tab/>
          </w:r>
          <w:r>
            <w:rPr>
              <w:noProof/>
            </w:rPr>
            <w:fldChar w:fldCharType="begin"/>
          </w:r>
          <w:r>
            <w:rPr>
              <w:noProof/>
            </w:rPr>
            <w:instrText xml:space="preserve"> PAGEREF _Toc352927153 \h </w:instrText>
          </w:r>
          <w:r>
            <w:rPr>
              <w:noProof/>
            </w:rPr>
          </w:r>
          <w:r>
            <w:rPr>
              <w:noProof/>
            </w:rPr>
            <w:fldChar w:fldCharType="separate"/>
          </w:r>
          <w:r>
            <w:rPr>
              <w:noProof/>
            </w:rPr>
            <w:t>17</w:t>
          </w:r>
          <w:r>
            <w:rPr>
              <w:noProof/>
            </w:rPr>
            <w:fldChar w:fldCharType="end"/>
          </w:r>
        </w:p>
        <w:p w14:paraId="04971DD2" w14:textId="77777777" w:rsidR="00A05ECB" w:rsidRDefault="00A05ECB">
          <w:pPr>
            <w:pStyle w:val="TOC3"/>
            <w:tabs>
              <w:tab w:val="right" w:leader="dot" w:pos="8630"/>
            </w:tabs>
            <w:rPr>
              <w:rFonts w:asciiTheme="minorHAnsi" w:eastAsiaTheme="minorEastAsia" w:hAnsiTheme="minorHAnsi" w:cstheme="minorBidi"/>
              <w:noProof/>
              <w:sz w:val="24"/>
              <w:szCs w:val="24"/>
              <w:lang w:val="en-CA" w:eastAsia="ja-JP"/>
            </w:rPr>
          </w:pPr>
          <w:r w:rsidRPr="004025A1">
            <w:rPr>
              <w:noProof/>
              <w:color w:val="000000" w:themeColor="text1"/>
            </w:rPr>
            <w:t>Supplementary Figure S6 – miR-106a expression.</w:t>
          </w:r>
          <w:r>
            <w:rPr>
              <w:noProof/>
            </w:rPr>
            <w:tab/>
          </w:r>
          <w:r>
            <w:rPr>
              <w:noProof/>
            </w:rPr>
            <w:fldChar w:fldCharType="begin"/>
          </w:r>
          <w:r>
            <w:rPr>
              <w:noProof/>
            </w:rPr>
            <w:instrText xml:space="preserve"> PAGEREF _Toc352927154 \h </w:instrText>
          </w:r>
          <w:r>
            <w:rPr>
              <w:noProof/>
            </w:rPr>
          </w:r>
          <w:r>
            <w:rPr>
              <w:noProof/>
            </w:rPr>
            <w:fldChar w:fldCharType="separate"/>
          </w:r>
          <w:r>
            <w:rPr>
              <w:noProof/>
            </w:rPr>
            <w:t>19</w:t>
          </w:r>
          <w:r>
            <w:rPr>
              <w:noProof/>
            </w:rPr>
            <w:fldChar w:fldCharType="end"/>
          </w:r>
        </w:p>
        <w:p w14:paraId="345FC014" w14:textId="77777777" w:rsidR="00A05ECB" w:rsidRDefault="00A05ECB">
          <w:pPr>
            <w:pStyle w:val="TOC1"/>
            <w:tabs>
              <w:tab w:val="right" w:leader="dot" w:pos="8630"/>
            </w:tabs>
            <w:rPr>
              <w:rFonts w:asciiTheme="minorHAnsi" w:eastAsiaTheme="minorEastAsia" w:hAnsiTheme="minorHAnsi" w:cstheme="minorBidi"/>
              <w:b w:val="0"/>
              <w:noProof/>
              <w:lang w:val="en-CA" w:eastAsia="ja-JP"/>
            </w:rPr>
          </w:pPr>
          <w:r>
            <w:rPr>
              <w:noProof/>
            </w:rPr>
            <w:t>References For Supplementary Appendix</w:t>
          </w:r>
          <w:r>
            <w:rPr>
              <w:noProof/>
            </w:rPr>
            <w:tab/>
          </w:r>
          <w:r>
            <w:rPr>
              <w:noProof/>
            </w:rPr>
            <w:fldChar w:fldCharType="begin"/>
          </w:r>
          <w:r>
            <w:rPr>
              <w:noProof/>
            </w:rPr>
            <w:instrText xml:space="preserve"> PAGEREF _Toc352927155 \h </w:instrText>
          </w:r>
          <w:r>
            <w:rPr>
              <w:noProof/>
            </w:rPr>
          </w:r>
          <w:r>
            <w:rPr>
              <w:noProof/>
            </w:rPr>
            <w:fldChar w:fldCharType="separate"/>
          </w:r>
          <w:r>
            <w:rPr>
              <w:noProof/>
            </w:rPr>
            <w:t>20</w:t>
          </w:r>
          <w:r>
            <w:rPr>
              <w:noProof/>
            </w:rPr>
            <w:fldChar w:fldCharType="end"/>
          </w:r>
        </w:p>
        <w:p w14:paraId="563E9573" w14:textId="77777777" w:rsidR="00C34E7A" w:rsidRDefault="0098788A" w:rsidP="00C34E7A">
          <w:r>
            <w:rPr>
              <w:b/>
              <w:bCs/>
              <w:noProof/>
            </w:rPr>
            <w:fldChar w:fldCharType="end"/>
          </w:r>
        </w:p>
      </w:sdtContent>
    </w:sdt>
    <w:p w14:paraId="59AF2DB1" w14:textId="77777777" w:rsidR="00B17648" w:rsidRDefault="00B17648">
      <w:pPr>
        <w:keepNext w:val="0"/>
        <w:spacing w:before="0" w:after="0" w:line="240" w:lineRule="auto"/>
        <w:rPr>
          <w:rFonts w:ascii="Helvetica" w:eastAsiaTheme="majorEastAsia" w:hAnsi="Helvetica" w:cstheme="majorBidi"/>
          <w:b/>
          <w:bCs/>
          <w:sz w:val="32"/>
          <w:szCs w:val="32"/>
        </w:rPr>
      </w:pPr>
      <w:r>
        <w:br w:type="page"/>
      </w:r>
    </w:p>
    <w:p w14:paraId="39F84933" w14:textId="554E0F4B" w:rsidR="0026189F" w:rsidRDefault="00FA5A75" w:rsidP="0026189F">
      <w:pPr>
        <w:pStyle w:val="Heading1"/>
      </w:pPr>
      <w:bookmarkStart w:id="2" w:name="_Toc352927137"/>
      <w:r>
        <w:lastRenderedPageBreak/>
        <w:t xml:space="preserve">Supplementary </w:t>
      </w:r>
      <w:r w:rsidR="0026189F">
        <w:t xml:space="preserve">Experimental </w:t>
      </w:r>
      <w:r w:rsidR="00030023">
        <w:t>Methods</w:t>
      </w:r>
      <w:bookmarkEnd w:id="2"/>
    </w:p>
    <w:p w14:paraId="7895EBCA" w14:textId="77777777" w:rsidR="00276D68" w:rsidRPr="00EC269E" w:rsidRDefault="00276D68" w:rsidP="00276D68">
      <w:pPr>
        <w:pStyle w:val="Heading2"/>
      </w:pPr>
      <w:bookmarkStart w:id="3" w:name="_Toc352927138"/>
      <w:bookmarkStart w:id="4" w:name="_Toc305962875"/>
      <w:bookmarkStart w:id="5" w:name="_Toc307564427"/>
      <w:bookmarkEnd w:id="0"/>
      <w:bookmarkEnd w:id="1"/>
      <w:r w:rsidRPr="00EC269E">
        <w:t>Cytogenetic Risk Assessments</w:t>
      </w:r>
      <w:bookmarkEnd w:id="3"/>
      <w:r w:rsidRPr="00EC269E">
        <w:t xml:space="preserve"> </w:t>
      </w:r>
    </w:p>
    <w:p w14:paraId="2A839C58" w14:textId="49A2A36B" w:rsidR="00276D68" w:rsidRDefault="00276D68" w:rsidP="00276D68">
      <w:pPr>
        <w:ind w:firstLine="720"/>
        <w:rPr>
          <w:szCs w:val="22"/>
        </w:rPr>
      </w:pPr>
      <w:r>
        <w:rPr>
          <w:szCs w:val="22"/>
        </w:rPr>
        <w:t>C</w:t>
      </w:r>
      <w:r w:rsidRPr="00EC269E">
        <w:rPr>
          <w:szCs w:val="22"/>
        </w:rPr>
        <w:t xml:space="preserve">ytogenetic and molecular abnormalities were used to stratify </w:t>
      </w:r>
      <w:r>
        <w:rPr>
          <w:szCs w:val="22"/>
        </w:rPr>
        <w:t>patients</w:t>
      </w:r>
      <w:r w:rsidRPr="00EC269E">
        <w:rPr>
          <w:szCs w:val="22"/>
        </w:rPr>
        <w:t xml:space="preserve"> into risk groups</w:t>
      </w:r>
      <w:r>
        <w:rPr>
          <w:szCs w:val="22"/>
        </w:rPr>
        <w:fldChar w:fldCharType="begin"/>
      </w:r>
      <w:r w:rsidR="00A05ECB">
        <w:rPr>
          <w:szCs w:val="22"/>
        </w:rPr>
        <w:instrText xml:space="preserve"> ADDIN PAPERS2_CITATIONS &lt;citation&gt;&lt;uuid&gt;883AA603-2278-448D-8A1E-339F35EA816B&lt;/uuid&gt;&lt;priority&gt;0&lt;/priority&gt;&lt;publications&gt;&lt;publication&gt;&lt;uuid&gt;8F957426-E84D-4CA2-9622-400ED4A45C80&lt;/uuid&gt;&lt;volume&gt;16&lt;/volume&gt;&lt;accepted_date&gt;99201412111200000000222000&lt;/accepted_date&gt;&lt;doi&gt;10.1186/s13059-014-0568-y&lt;/doi&gt;&lt;startpage&gt;18&lt;/startpage&gt;&lt;publication_date&gt;99201500001200000000200000&lt;/publication_date&gt;&lt;url&gt;http://eutils.ncbi.nlm.nih.gov/entrez/eutils/elink.fcgi?dbfrom=pubmed&amp;amp;id=25723320&amp;amp;retmode=ref&amp;amp;cmd=prlinks&lt;/url&gt;&lt;type&gt;400&lt;/type&gt;&lt;title&gt;Comprehensive miRNA sequence analysis reveals survival differences in diffuse large B-cell lymphoma patients.&lt;/title&gt;&lt;submission_date&gt;99201409101200000000222000&lt;/submission_date&gt;&lt;number&gt;1&lt;/number&gt;&lt;subtype&gt;400&lt;/subtype&gt;&lt;bundle&gt;&lt;publication&gt;&lt;title&gt;Genome biology&lt;/title&gt;&lt;type&gt;-100&lt;/type&gt;&lt;subtype&gt;-100&lt;/subtype&gt;&lt;uuid&gt;D0BC1025-31CD-4893-9222-0AC358A122DD&lt;/uuid&gt;&lt;/publication&gt;&lt;/bundle&gt;&lt;authors&gt;&lt;author&gt;&lt;firstName&gt;Emilia&lt;/firstName&gt;&lt;middleNames&gt;L&lt;/middleNames&gt;&lt;lastName&gt;Lim&lt;/lastName&gt;&lt;/author&gt;&lt;author&gt;&lt;firstName&gt;Diane&lt;/firstName&gt;&lt;middleNames&gt;L&lt;/middleNames&gt;&lt;lastName&gt;Trinh&lt;/lastName&gt;&lt;/author&gt;&lt;author&gt;&lt;firstName&gt;David&lt;/firstName&gt;&lt;middleNames&gt;W&lt;/middleNames&gt;&lt;lastName&gt;Scott&lt;/lastName&gt;&lt;/author&gt;&lt;author&gt;&lt;firstName&gt;Andy&lt;/firstName&gt;&lt;lastName&gt;Chu&lt;/lastName&gt;&lt;/author&gt;&lt;author&gt;&lt;firstName&gt;Martin&lt;/firstName&gt;&lt;lastName&gt;Krzywinski&lt;/lastName&gt;&lt;/author&gt;&lt;author&gt;&lt;firstName&gt;Yongjun&lt;/firstName&gt;&lt;lastName&gt;Zhao&lt;/lastName&gt;&lt;/author&gt;&lt;author&gt;&lt;firstName&gt;A&lt;/firstName&gt;&lt;middleNames&gt;Gordon&lt;/middleNames&gt;&lt;lastName&gt;Robertson&lt;/lastName&gt;&lt;/author&gt;&lt;author&gt;&lt;firstName&gt;Andrew&lt;/firstName&gt;&lt;middleNames&gt;J&lt;/middleNames&gt;&lt;lastName&gt;Mungall&lt;/lastName&gt;&lt;/author&gt;&lt;author&gt;&lt;firstName&gt;Jacqueline&lt;/firstName&gt;&lt;lastName&gt;Schein&lt;/lastName&gt;&lt;/author&gt;&lt;author&gt;&lt;firstName&gt;Merrill&lt;/firstName&gt;&lt;lastName&gt;Boyle&lt;/lastName&gt;&lt;/author&gt;&lt;author&gt;&lt;firstName&gt;Anja&lt;/firstName&gt;&lt;lastName&gt;Mottok&lt;/lastName&gt;&lt;/author&gt;&lt;author&gt;&lt;firstName&gt;Daisuke&lt;/firstName&gt;&lt;lastName&gt;Ennishi&lt;/lastName&gt;&lt;/author&gt;&lt;author&gt;&lt;firstName&gt;Nathalie&lt;/firstName&gt;&lt;middleNames&gt;A&lt;/middleNames&gt;&lt;lastName&gt;Johnson&lt;/lastName&gt;&lt;/author&gt;&lt;author&gt;&lt;firstName&gt;Christian&lt;/firstName&gt;&lt;lastName&gt;Steidl&lt;/lastName&gt;&lt;/author&gt;&lt;author&gt;&lt;firstName&gt;Joseph&lt;/firstName&gt;&lt;middleNames&gt;M&lt;/middleNames&gt;&lt;lastName&gt;Connors&lt;/lastName&gt;&lt;/author&gt;&lt;author&gt;&lt;firstName&gt;Ryan&lt;/firstName&gt;&lt;middleNames&gt;D&lt;/middleNames&gt;&lt;lastName&gt;Morin&lt;/lastName&gt;&lt;/author&gt;&lt;author&gt;&lt;firstName&gt;Randy&lt;/firstName&gt;&lt;middleNames&gt;D&lt;/middleNames&gt;&lt;lastName&gt;Gascoyne&lt;/lastName&gt;&lt;/author&gt;&lt;author&gt;&lt;firstName&gt;Marco&lt;/firstName&gt;&lt;middleNames&gt;A&lt;/middleNames&gt;&lt;lastName&gt;Marra&lt;/lastName&gt;&lt;/author&gt;&lt;/authors&gt;&lt;/publication&gt;&lt;publication&gt;&lt;publication_date&gt;99201408041200000000222000&lt;/publication_date&gt;&lt;doi&gt;10.1200/JCO.2014.55.3628&lt;/doi&gt;&lt;institution&gt;Alan S. Gamis, Children's Mercy Hospitals and Clinics, Kansas City, MO; Todd A. Alonzo, University of Southern California, Los Angeles; Robert B. Gerbing, Children's Oncology Group, Monrovia; Amy Heerema-McKenney, Stanford University, Palo Alto, CA; Soheil Meshinchi, Fred Hutchinson Cancer Center; Laura Winter, Children's Hospital and Regional Medical Center, Seattle, WA; Susana C. Raimondi, St Jude Children's Research Hospital, Memphis, TN; Betsy A. Hirsch, University of Minnesota, Minneapolis, MN; Samir B. Kahwash, Nationwide Children's Hospital, Columbus; Stella M. Davies, Cincinnati Children's Hospital Medical Center; Franklin O. Smith, University of Cincinnati, Cincinnati, OH; Kathleen Glick, Maine Children's Cancer Program, Scarborough, ME; Richard Aplenc, Children's Hospital of Philadelphia, Philadelphia, PA; Lillian Sung, Hospital for Sick Children, Toronto; and Patti Byron, British Columbia Children's Hospital, Vancouver, Canada. agamis@cmh.edu.&lt;/institution&gt;&lt;title&gt;Gemtuzumab Ozogamicin in Children and Adolescents With De Novo Acute Myeloid Leukemia Improves Event-Free Survival by Reducing Relapse Risk: Results From the Randomized Phase III Children's Oncology Group Trial AAML0531.&lt;/title&gt;&lt;uuid&gt;E612D128-9DBD-4E9A-97B5-64896794AEC5&lt;/uuid&gt;&lt;subtype&gt;400&lt;/subtype&gt;&lt;type&gt;400&lt;/type&gt;&lt;url&gt;http://eutils.ncbi.nlm.nih.gov/entrez/eutils/elink.fcgi?dbfrom=pubmed&amp;amp;id=25092781&amp;amp;retmode=ref&amp;amp;cmd=prlinks&lt;/url&gt;&lt;bundle&gt;&lt;publication&gt;&lt;title&gt;Journal of clinical oncology : official journal of the American Society of Clinical Oncology&lt;/title&gt;&lt;type&gt;-100&lt;/type&gt;&lt;subtype&gt;-100&lt;/subtype&gt;&lt;uuid&gt;5A43E9F9-3E06-46A5-A37C-54A6DE0F47FE&lt;/uuid&gt;&lt;/publication&gt;&lt;/bundle&gt;&lt;authors&gt;&lt;author&gt;&lt;firstName&gt;Alan&lt;/firstName&gt;&lt;middleNames&gt;S&lt;/middleNames&gt;&lt;lastName&gt;Gamis&lt;/lastName&gt;&lt;/author&gt;&lt;author&gt;&lt;firstName&gt;Todd&lt;/firstName&gt;&lt;middleNames&gt;A&lt;/middleNames&gt;&lt;lastName&gt;Alonzo&lt;/lastName&gt;&lt;/author&gt;&lt;author&gt;&lt;firstName&gt;Soheil&lt;/firstName&gt;&lt;lastName&gt;Meshinchi&lt;/lastName&gt;&lt;/author&gt;&lt;author&gt;&lt;firstName&gt;Lillian&lt;/firstName&gt;&lt;lastName&gt;Sung&lt;/lastName&gt;&lt;/author&gt;&lt;author&gt;&lt;firstName&gt;Robert&lt;/firstName&gt;&lt;middleNames&gt;B&lt;/middleNames&gt;&lt;lastName&gt;Gerbing&lt;/lastName&gt;&lt;/author&gt;&lt;author&gt;&lt;firstName&gt;Susana&lt;/firstName&gt;&lt;middleNames&gt;C&lt;/middleNames&gt;&lt;lastName&gt;Raimondi&lt;/lastName&gt;&lt;/author&gt;&lt;author&gt;&lt;firstName&gt;Betsy&lt;/firstName&gt;&lt;middleNames&gt;A&lt;/middleNames&gt;&lt;lastName&gt;Hirsch&lt;/lastName&gt;&lt;/author&gt;&lt;author&gt;&lt;firstName&gt;Samir&lt;/firstName&gt;&lt;middleNames&gt;B&lt;/middleNames&gt;&lt;lastName&gt;Kahwash&lt;/lastName&gt;&lt;/author&gt;&lt;author&gt;&lt;firstName&gt;Amy&lt;/firstName&gt;&lt;lastName&gt;Heerema-McKenney&lt;/lastName&gt;&lt;/author&gt;&lt;author&gt;&lt;firstName&gt;Laura&lt;/firstName&gt;&lt;lastName&gt;Winter&lt;/lastName&gt;&lt;/author&gt;&lt;author&gt;&lt;firstName&gt;Kathleen&lt;/firstName&gt;&lt;lastName&gt;Glick&lt;/lastName&gt;&lt;/author&gt;&lt;author&gt;&lt;firstName&gt;Stella&lt;/firstName&gt;&lt;middleNames&gt;M&lt;/middleNames&gt;&lt;lastName&gt;Davies&lt;/lastName&gt;&lt;/author&gt;&lt;author&gt;&lt;firstName&gt;Patti&lt;/firstName&gt;&lt;lastName&gt;Byron&lt;/lastName&gt;&lt;/author&gt;&lt;author&gt;&lt;firstName&gt;Franklin&lt;/firstName&gt;&lt;middleNames&gt;O&lt;/middleNames&gt;&lt;lastName&gt;Smith&lt;/lastName&gt;&lt;/author&gt;&lt;author&gt;&lt;firstName&gt;Richard&lt;/firstName&gt;&lt;lastName&gt;Aplenc&lt;/lastName&gt;&lt;/author&gt;&lt;/authors&gt;&lt;/publication&gt;&lt;/publications&gt;&lt;cites&gt;&lt;/cites&gt;&lt;/citation&gt;</w:instrText>
      </w:r>
      <w:r>
        <w:rPr>
          <w:szCs w:val="22"/>
        </w:rPr>
        <w:fldChar w:fldCharType="separate"/>
      </w:r>
      <w:r>
        <w:rPr>
          <w:rFonts w:eastAsiaTheme="minorEastAsia" w:cs="Arial"/>
          <w:szCs w:val="22"/>
          <w:vertAlign w:val="superscript"/>
        </w:rPr>
        <w:t>1,2</w:t>
      </w:r>
      <w:r>
        <w:rPr>
          <w:szCs w:val="22"/>
        </w:rPr>
        <w:fldChar w:fldCharType="end"/>
      </w:r>
      <w:r w:rsidRPr="00EC269E">
        <w:rPr>
          <w:szCs w:val="22"/>
        </w:rPr>
        <w:t xml:space="preserve">. </w:t>
      </w:r>
      <w:r>
        <w:rPr>
          <w:szCs w:val="22"/>
        </w:rPr>
        <w:t>In the Discovery Cohort, the</w:t>
      </w:r>
      <w:r w:rsidRPr="00EC269E">
        <w:rPr>
          <w:szCs w:val="22"/>
        </w:rPr>
        <w:t xml:space="preserve"> high risk group included patients with high allelic ratio</w:t>
      </w:r>
      <w:r>
        <w:rPr>
          <w:szCs w:val="22"/>
        </w:rPr>
        <w:t xml:space="preserve"> (AR) (0.4)</w:t>
      </w:r>
      <w:r w:rsidRPr="00EC269E">
        <w:rPr>
          <w:szCs w:val="22"/>
        </w:rPr>
        <w:t xml:space="preserve"> </w:t>
      </w:r>
      <w:r w:rsidRPr="00EC269E">
        <w:rPr>
          <w:i/>
          <w:szCs w:val="22"/>
        </w:rPr>
        <w:t>FLT3</w:t>
      </w:r>
      <w:r w:rsidRPr="00EC269E">
        <w:rPr>
          <w:szCs w:val="22"/>
        </w:rPr>
        <w:t xml:space="preserve">-ITD+ and/or monosomy 5, del(5q), or monosomy 7. </w:t>
      </w:r>
      <w:r>
        <w:rPr>
          <w:szCs w:val="22"/>
        </w:rPr>
        <w:t>The</w:t>
      </w:r>
      <w:r w:rsidRPr="00EC269E">
        <w:rPr>
          <w:szCs w:val="22"/>
        </w:rPr>
        <w:t xml:space="preserve"> low risk group included patients with core-binding factor AML [t(8;21) or inv(16)/t(16;16)] and/or </w:t>
      </w:r>
      <w:r w:rsidRPr="00EC269E">
        <w:rPr>
          <w:i/>
          <w:szCs w:val="22"/>
        </w:rPr>
        <w:t>NPM1</w:t>
      </w:r>
      <w:r w:rsidRPr="00EC269E">
        <w:rPr>
          <w:szCs w:val="22"/>
        </w:rPr>
        <w:t xml:space="preserve"> or </w:t>
      </w:r>
      <w:r w:rsidRPr="00EC269E">
        <w:rPr>
          <w:i/>
          <w:szCs w:val="22"/>
        </w:rPr>
        <w:t>CEBPA</w:t>
      </w:r>
      <w:r w:rsidRPr="00EC269E">
        <w:rPr>
          <w:szCs w:val="22"/>
        </w:rPr>
        <w:t xml:space="preserve"> mutations without </w:t>
      </w:r>
      <w:r w:rsidRPr="00EC269E">
        <w:rPr>
          <w:i/>
          <w:szCs w:val="22"/>
        </w:rPr>
        <w:t>FLT3</w:t>
      </w:r>
      <w:r w:rsidRPr="00EC269E">
        <w:rPr>
          <w:szCs w:val="22"/>
        </w:rPr>
        <w:t>-ITD mutations.</w:t>
      </w:r>
      <w:r>
        <w:rPr>
          <w:szCs w:val="22"/>
        </w:rPr>
        <w:t xml:space="preserve"> </w:t>
      </w:r>
      <w:r w:rsidRPr="00EC269E">
        <w:rPr>
          <w:szCs w:val="22"/>
        </w:rPr>
        <w:t>The remaining patients with known cytogenetics were designated as intermediate risk.</w:t>
      </w:r>
    </w:p>
    <w:p w14:paraId="1611AE78" w14:textId="77777777" w:rsidR="00276D68" w:rsidRDefault="00276D68" w:rsidP="00276D68">
      <w:pPr>
        <w:ind w:firstLine="720"/>
        <w:rPr>
          <w:szCs w:val="22"/>
        </w:rPr>
      </w:pPr>
      <w:r>
        <w:rPr>
          <w:szCs w:val="22"/>
        </w:rPr>
        <w:t xml:space="preserve">The </w:t>
      </w:r>
      <w:r w:rsidRPr="00D5217E">
        <w:rPr>
          <w:szCs w:val="22"/>
        </w:rPr>
        <w:t>AAML1031 Validation Cohort</w:t>
      </w:r>
      <w:r>
        <w:rPr>
          <w:szCs w:val="22"/>
        </w:rPr>
        <w:t xml:space="preserve"> was different than the Discovery Cohort in that high AR </w:t>
      </w:r>
      <w:r w:rsidRPr="003250B6">
        <w:rPr>
          <w:i/>
          <w:szCs w:val="22"/>
        </w:rPr>
        <w:t>FLT3</w:t>
      </w:r>
      <w:r>
        <w:rPr>
          <w:szCs w:val="22"/>
        </w:rPr>
        <w:t>-ITD cases were excluded. Since</w:t>
      </w:r>
      <w:r w:rsidRPr="00D5217E">
        <w:rPr>
          <w:szCs w:val="22"/>
        </w:rPr>
        <w:t xml:space="preserve"> </w:t>
      </w:r>
      <w:r>
        <w:rPr>
          <w:szCs w:val="22"/>
        </w:rPr>
        <w:t xml:space="preserve">high AR </w:t>
      </w:r>
      <w:r w:rsidRPr="003250B6">
        <w:rPr>
          <w:i/>
          <w:szCs w:val="22"/>
        </w:rPr>
        <w:t>FLT3</w:t>
      </w:r>
      <w:r>
        <w:rPr>
          <w:szCs w:val="22"/>
        </w:rPr>
        <w:t>-ITD cases were excluded</w:t>
      </w:r>
      <w:r w:rsidRPr="00D5217E">
        <w:rPr>
          <w:szCs w:val="22"/>
        </w:rPr>
        <w:t xml:space="preserve">, high risk group cases </w:t>
      </w:r>
      <w:r>
        <w:rPr>
          <w:szCs w:val="22"/>
        </w:rPr>
        <w:t xml:space="preserve">in the AAML1031 Validation Cohort </w:t>
      </w:r>
      <w:r w:rsidRPr="00D5217E">
        <w:rPr>
          <w:szCs w:val="22"/>
        </w:rPr>
        <w:t>only included those with monosomy 5, del(5q), or monosomy 7.</w:t>
      </w:r>
      <w:r>
        <w:rPr>
          <w:szCs w:val="22"/>
        </w:rPr>
        <w:t xml:space="preserve"> The</w:t>
      </w:r>
      <w:r w:rsidRPr="00EC269E">
        <w:rPr>
          <w:szCs w:val="22"/>
        </w:rPr>
        <w:t xml:space="preserve"> low risk group included patients with core-binding factor AML [t(8;21) or inv(16)/t(16;16)] and/or </w:t>
      </w:r>
      <w:r w:rsidRPr="00EC269E">
        <w:rPr>
          <w:i/>
          <w:szCs w:val="22"/>
        </w:rPr>
        <w:t>NPM1</w:t>
      </w:r>
      <w:r w:rsidRPr="00EC269E">
        <w:rPr>
          <w:szCs w:val="22"/>
        </w:rPr>
        <w:t xml:space="preserve"> or </w:t>
      </w:r>
      <w:r w:rsidRPr="00EC269E">
        <w:rPr>
          <w:i/>
          <w:szCs w:val="22"/>
        </w:rPr>
        <w:t>CEBPA</w:t>
      </w:r>
      <w:r w:rsidRPr="00EC269E">
        <w:rPr>
          <w:szCs w:val="22"/>
        </w:rPr>
        <w:t xml:space="preserve"> mutations without </w:t>
      </w:r>
      <w:r w:rsidRPr="00EC269E">
        <w:rPr>
          <w:i/>
          <w:szCs w:val="22"/>
        </w:rPr>
        <w:t>FLT3</w:t>
      </w:r>
      <w:r w:rsidRPr="00EC269E">
        <w:rPr>
          <w:szCs w:val="22"/>
        </w:rPr>
        <w:t>-ITD mutations.</w:t>
      </w:r>
      <w:r>
        <w:rPr>
          <w:szCs w:val="22"/>
        </w:rPr>
        <w:t xml:space="preserve"> </w:t>
      </w:r>
      <w:r w:rsidRPr="00EC269E">
        <w:rPr>
          <w:szCs w:val="22"/>
        </w:rPr>
        <w:t>The remaining patients with known cytogenetics were designated as intermediate risk.</w:t>
      </w:r>
    </w:p>
    <w:p w14:paraId="3F5EE48C" w14:textId="77777777" w:rsidR="00276D68" w:rsidRPr="00E424D0" w:rsidRDefault="00276D68" w:rsidP="00276D68">
      <w:pPr>
        <w:ind w:firstLine="720"/>
        <w:rPr>
          <w:szCs w:val="22"/>
        </w:rPr>
      </w:pPr>
      <w:r w:rsidRPr="00EC269E">
        <w:t xml:space="preserve">Patient baseline characteristics were compared between </w:t>
      </w:r>
      <w:r>
        <w:t>cohorts</w:t>
      </w:r>
      <w:r w:rsidRPr="00EC269E">
        <w:t xml:space="preserve"> using Chi-squared tests.</w:t>
      </w:r>
    </w:p>
    <w:p w14:paraId="00D96EFA" w14:textId="77777777" w:rsidR="00CB60D2" w:rsidRPr="002E2E8D" w:rsidRDefault="00CB60D2" w:rsidP="00CB60D2">
      <w:pPr>
        <w:pStyle w:val="Heading2"/>
      </w:pPr>
      <w:bookmarkStart w:id="6" w:name="_Toc352927139"/>
      <w:r w:rsidRPr="002E2E8D">
        <w:t>Library construction and sequencing of miRNA-seq Illumina libraries</w:t>
      </w:r>
      <w:bookmarkEnd w:id="4"/>
      <w:bookmarkEnd w:id="5"/>
      <w:bookmarkEnd w:id="6"/>
    </w:p>
    <w:p w14:paraId="30831B34" w14:textId="67341C9D" w:rsidR="00CB60D2" w:rsidRPr="00681B11" w:rsidRDefault="00CB60D2" w:rsidP="00CB60D2">
      <w:pPr>
        <w:ind w:firstLine="720"/>
      </w:pPr>
      <w:r w:rsidRPr="005047A7">
        <w:rPr>
          <w:szCs w:val="22"/>
        </w:rPr>
        <w:t xml:space="preserve">RNA extraction, </w:t>
      </w:r>
      <w:r w:rsidRPr="005047A7">
        <w:t>miRNA-seq library construct</w:t>
      </w:r>
      <w:r w:rsidR="00C16BBB">
        <w:t>ion, sequencing, read alignment</w:t>
      </w:r>
      <w:r w:rsidRPr="005047A7">
        <w:t xml:space="preserve"> and miRNA expression profil</w:t>
      </w:r>
      <w:r>
        <w:t xml:space="preserve">ing was performed as </w:t>
      </w:r>
      <w:r w:rsidR="001857C0">
        <w:t xml:space="preserve">previously </w:t>
      </w:r>
      <w:r>
        <w:t>reported</w:t>
      </w:r>
      <w:r w:rsidR="0098788A" w:rsidRPr="00681B11">
        <w:fldChar w:fldCharType="begin"/>
      </w:r>
      <w:r w:rsidR="00A05ECB">
        <w:instrText xml:space="preserve"> ADDIN PAPERS2_CITATIONS &lt;citation&gt;&lt;uuid&gt;571B2A61-B60D-4671-9589-C74EEDF1ED89&lt;/uuid&gt;&lt;priority&gt;1&lt;/priority&gt;&lt;publications&gt;&lt;publication&gt;&lt;uuid&gt;BB3828E9-4C82-447F-8E1C-80AC46ED4E35&lt;/uuid&gt;&lt;volume&gt;10&lt;/volume&gt;&lt;doi&gt;10.1158/1078-0432.CCR-04-0713&lt;/doi&gt;&lt;startpage&gt;7252&lt;/startpage&gt;&lt;publication_date&gt;99200411011200000000222000&lt;/publication_date&gt;&lt;url&gt;http://eutils.ncbi.nlm.nih.gov/entrez/eutils/elink.fcgi?dbfrom=pubmed&amp;amp;id=15534099&amp;amp;retmode=ref&amp;amp;cmd=prlinks&lt;/url&gt;&lt;type&gt;400&lt;/type&gt;&lt;title&gt;X-tile: a new bio-informatics tool for biomarker assessment and outcome-based cut-point optimization.&lt;/title&gt;&lt;institution&gt;Department of Pathology, Yale University, School of Medicine, New Haven, Connecticut 06520, USA. robert.camp@yale.edu&lt;/institution&gt;&lt;number&gt;21&lt;/number&gt;&lt;subtype&gt;400&lt;/subtype&gt;&lt;endpage&gt;7259&lt;/endpage&gt;&lt;bundle&gt;&lt;publication&gt;&lt;title&gt;Clinical cancer research : an official journal of the American Association for Cancer Research&lt;/title&gt;&lt;type&gt;-100&lt;/type&gt;&lt;subtype&gt;-100&lt;/subtype&gt;&lt;uuid&gt;B1A057E6-0982-4439-86B8-789174EACD57&lt;/uuid&gt;&lt;/publication&gt;&lt;/bundle&gt;&lt;authors&gt;&lt;author&gt;&lt;firstName&gt;Robert&lt;/firstName&gt;&lt;middleNames&gt;L&lt;/middleNames&gt;&lt;lastName&gt;Camp&lt;/lastName&gt;&lt;/author&gt;&lt;author&gt;&lt;firstName&gt;Marisa&lt;/firstName&gt;&lt;lastName&gt;Dolled-Filhart&lt;/lastName&gt;&lt;/author&gt;&lt;author&gt;&lt;firstName&gt;David&lt;/firstName&gt;&lt;middleNames&gt;L&lt;/middleNames&gt;&lt;lastName&gt;Rimm&lt;/lastName&gt;&lt;/author&gt;&lt;/authors&gt;&lt;/publication&gt;&lt;publication&gt;&lt;uuid&gt;6075A762-AE7D-4FD1-95F4-6712836E78C7&lt;/uuid&gt;&lt;volume&gt;368&lt;/volume&gt;&lt;doi&gt;10.1056/NEJMoa1301689&lt;/doi&gt;&lt;startpage&gt;2059&lt;/startpage&gt;&lt;livfeID&gt;c8b88a79-392e-4791-825d-a686e8149821&lt;/livfeID&gt;&lt;publication_date&gt;99201305301200000000222000&lt;/publication_date&gt;&lt;url&gt;http://eutils.ncbi.nlm.nih.gov/entrez/eutils/elink.fcgi?dbfrom=pubmed&amp;amp;id=23634996&amp;amp;retmode=ref&amp;amp;cmd=prlinks&lt;/url&gt;&lt;type&gt;400&lt;/type&gt;&lt;title&gt;Genomic and epigenomic landscapes of adult de novo acute myeloid leukemia.&lt;/title&gt;&lt;location&gt;&amp;lt;html&amp;gt;&amp;lt;head&amp;gt;&amp;lt;meta http-equiv="content-type" content="text/html; charset=utf-8"/&amp;gt;&amp;lt;title&amp;gt;Sorry...&amp;lt;/title&amp;gt;&amp;lt;style&amp;gt; body { font-family: verdana, arial, sans-serif; background-color: #fff; color: #000; }&amp;lt;/style&amp;gt;&amp;lt;/head&amp;gt;&amp;lt;body&amp;gt;&amp;lt;div&amp;gt;&amp;lt;table&amp;gt;&amp;lt;tr&amp;gt;&amp;lt;td&amp;gt;&amp;lt;b&amp;gt;&amp;lt;font face=times color=#0039b6 size=10&amp;gt;G&amp;lt;/font&amp;gt;&amp;lt;font face=times color=#c41200 size=10&amp;gt;o&amp;lt;/font&amp;gt;&amp;lt;font face=times color=#f3c518 size=10&amp;gt;o&amp;lt;/font&amp;gt;&amp;lt;font face=times color=#0039b6 size=10&amp;gt;g&amp;lt;/font&amp;gt;&amp;lt;font face=times color=#30a72f size=10&amp;gt;l&amp;lt;/font&amp;gt;&amp;lt;font face=times color=#c41200 size=10&amp;gt;e&amp;lt;/font&amp;gt;&amp;lt;/b&amp;gt;&amp;lt;/td&amp;gt;&amp;lt;td style="text-align: left; vertical-align: bottom; padding-bottom: 15px; width: 50%"&amp;gt;&amp;lt;div style="border-bottom: 1px solid #dfdfdf;"&amp;gt;Sorry...&amp;lt;/div&amp;gt;&amp;lt;/td&amp;gt;&amp;lt;/tr&amp;gt;&amp;lt;/table&amp;gt;&amp;lt;/div&amp;gt;&amp;lt;div style="margin-left: 4em;"&amp;gt;&amp;lt;h1&amp;gt;We're sorry...&amp;lt;/h1&amp;gt;&amp;lt;p&amp;gt;... but your computer or network may be sending automated queries. To protect our users, we can't process your request right now.&amp;lt;/p&amp;gt;&amp;lt;/div&amp;gt;&amp;lt;div style="margin-left: 4em;"&amp;gt;See &amp;lt;a href="https://support.google.com/websearch/answer/86640"&amp;gt;Google Help&amp;lt;/a&amp;gt; for more information.&amp;lt;br/&amp;gt;&amp;lt;br/&amp;gt;&amp;lt;/div&amp;gt;&amp;lt;div style="text-align: center; border-top: 1px solid #dfdfdf;"&amp;gt;&amp;lt;a href="https://www.google.com"&amp;gt;Google Home&amp;lt;/a&amp;gt;&amp;lt;/div&amp;gt;&amp;lt;/body&amp;gt;&amp;lt;/html&amp;gt;&lt;/location&gt;&lt;institution&gt;The members of the Cancer Genome Atlas Research Network are listed in the Appendix.&lt;/institution&gt;&lt;number&gt;22&lt;/number&gt;&lt;subtype&gt;400&lt;/subtype&gt;&lt;endpage&gt;2074&lt;/endpage&gt;&lt;bundle&gt;&lt;publication&gt;&lt;title&gt;N Engl J Med&lt;/title&gt;&lt;type&gt;-100&lt;/type&gt;&lt;subtype&gt;-100&lt;/subtype&gt;&lt;uuid&gt;35A2BC61-7D1A-4108-AC33-B12FD7BA5F87&lt;/uuid&gt;&lt;/publication&gt;&lt;/bundle&gt;&lt;authors&gt;&lt;author&gt;&lt;lastName&gt;The Cancer Genome Atlas Research Network&lt;/lastName&gt;&lt;/author&gt;&lt;/authors&gt;&lt;/publication&gt;&lt;/publications&gt;&lt;cites&gt;&lt;/cites&gt;&lt;/citation&gt;</w:instrText>
      </w:r>
      <w:r w:rsidR="0098788A" w:rsidRPr="00681B11">
        <w:fldChar w:fldCharType="separate"/>
      </w:r>
      <w:r w:rsidR="00747A0B">
        <w:rPr>
          <w:rFonts w:eastAsiaTheme="minorEastAsia" w:cs="Arial"/>
          <w:szCs w:val="22"/>
          <w:vertAlign w:val="superscript"/>
        </w:rPr>
        <w:t>3,4</w:t>
      </w:r>
      <w:r w:rsidR="0098788A" w:rsidRPr="00681B11">
        <w:fldChar w:fldCharType="end"/>
      </w:r>
      <w:r w:rsidRPr="00681B11">
        <w:t xml:space="preserve">. miRNA-seq reads were aligned to </w:t>
      </w:r>
      <w:r>
        <w:t xml:space="preserve">hg19 and </w:t>
      </w:r>
      <w:r w:rsidRPr="00681B11">
        <w:t xml:space="preserve">mirBase v21, and miRNA 3p/5p strands that were expressed at a level </w:t>
      </w:r>
      <w:r>
        <w:t xml:space="preserve">of at least </w:t>
      </w:r>
      <w:r w:rsidRPr="00681B11">
        <w:t>10 reads per million mapped reads (RPM) in at least 10 libraries were retained for analysis.</w:t>
      </w:r>
      <w:r w:rsidR="002E146C">
        <w:t xml:space="preserve"> This threshold </w:t>
      </w:r>
      <w:r w:rsidR="002E146C" w:rsidRPr="00EC269E">
        <w:t>was set based on criteria established by mirBase for high confidence miRNAs</w:t>
      </w:r>
      <w:r w:rsidR="002E146C" w:rsidRPr="00EC269E">
        <w:fldChar w:fldCharType="begin"/>
      </w:r>
      <w:r w:rsidR="00A05ECB">
        <w:instrText xml:space="preserve"> ADDIN PAPERS2_CITATIONS &lt;citation&gt;&lt;uuid&gt;1591FF5A-F029-44FD-92CB-C2FFA2FE0D2F&lt;/uuid&gt;&lt;priority&gt;2&lt;/priority&gt;&lt;publications&gt;&lt;publication&gt;&lt;uuid&gt;F1F21A84-D818-44D4-A3D0-1487968A6F77&lt;/uuid&gt;&lt;volume&gt;42&lt;/volume&gt;&lt;doi&gt;10.1093/nar/gkt1181&lt;/doi&gt;&lt;startpage&gt;D68&lt;/startpage&gt;&lt;publication_date&gt;99201401011200000000222000&lt;/publication_date&gt;&lt;url&gt;http://eutils.ncbi.nlm.nih.gov/entrez/eutils/elink.fcgi?dbfrom=pubmed&amp;amp;id=24275495&amp;amp;retmode=ref&amp;amp;cmd=prlinks&lt;/url&gt;&lt;type&gt;400&lt;/type&gt;&lt;title&gt;miRBase: annotating high confidence microRNAs using deep sequencing data.&lt;/title&gt;&lt;institution&gt;Faculty of Life Sciences, University of Manchester, Manchester, M13 9PT, UK.&lt;/institution&gt;&lt;number&gt;1&lt;/number&gt;&lt;subtype&gt;400&lt;/subtype&gt;&lt;endpage&gt;73&lt;/endpage&gt;&lt;bundle&gt;&lt;publication&gt;&lt;title&gt;Nucleic Acids Res&lt;/title&gt;&lt;type&gt;-100&lt;/type&gt;&lt;subtype&gt;-100&lt;/subtype&gt;&lt;uuid&gt;5533D39C-1332-4F87-ABA3-474DD5DA884C&lt;/uuid&gt;&lt;/publication&gt;&lt;/bundle&gt;&lt;authors&gt;&lt;author&gt;&lt;firstName&gt;Ana&lt;/firstName&gt;&lt;lastName&gt;Kozomara&lt;/lastName&gt;&lt;/author&gt;&lt;author&gt;&lt;firstName&gt;Sam&lt;/firstName&gt;&lt;lastName&gt;Griffiths-Jones&lt;/lastName&gt;&lt;/author&gt;&lt;/authors&gt;&lt;/publication&gt;&lt;/publications&gt;&lt;cites&gt;&lt;/cites&gt;&lt;/citation&gt;</w:instrText>
      </w:r>
      <w:r w:rsidR="002E146C" w:rsidRPr="00EC269E">
        <w:fldChar w:fldCharType="separate"/>
      </w:r>
      <w:r w:rsidR="005E6B90">
        <w:rPr>
          <w:rFonts w:eastAsiaTheme="minorEastAsia" w:cs="Arial"/>
          <w:szCs w:val="22"/>
          <w:vertAlign w:val="superscript"/>
        </w:rPr>
        <w:t>5</w:t>
      </w:r>
      <w:r w:rsidR="002E146C" w:rsidRPr="00EC269E">
        <w:fldChar w:fldCharType="end"/>
      </w:r>
      <w:r w:rsidR="002E146C" w:rsidRPr="00EC269E">
        <w:t>.</w:t>
      </w:r>
    </w:p>
    <w:p w14:paraId="30B75E14" w14:textId="77777777" w:rsidR="00CB60D2" w:rsidRPr="00681B11" w:rsidRDefault="00CB60D2" w:rsidP="00CB60D2">
      <w:pPr>
        <w:pStyle w:val="Heading2"/>
      </w:pPr>
      <w:bookmarkStart w:id="7" w:name="_Toc305962876"/>
      <w:bookmarkStart w:id="8" w:name="_Toc307564428"/>
      <w:bookmarkStart w:id="9" w:name="_Toc352927140"/>
      <w:r w:rsidRPr="00681B11">
        <w:t>Library construction and sequencing of mRNA-seq Illumina libraries</w:t>
      </w:r>
      <w:bookmarkEnd w:id="7"/>
      <w:bookmarkEnd w:id="8"/>
      <w:bookmarkEnd w:id="9"/>
    </w:p>
    <w:p w14:paraId="05A0EF7C" w14:textId="77777777" w:rsidR="00CB60D2" w:rsidRDefault="00CB60D2" w:rsidP="00CB60D2">
      <w:pPr>
        <w:ind w:firstLine="720"/>
        <w:rPr>
          <w:szCs w:val="22"/>
        </w:rPr>
      </w:pPr>
      <w:r w:rsidRPr="00681B11">
        <w:rPr>
          <w:szCs w:val="22"/>
        </w:rPr>
        <w:t>PolyA+ RNA was purified using the 96-well MultiMACS mRNA isolation kit on the MultiMACS 96 separator (Miltenyi Biotec, Germany) from 2</w:t>
      </w:r>
      <w:r>
        <w:rPr>
          <w:rFonts w:ascii="Symbol" w:hAnsi="Symbol"/>
          <w:szCs w:val="22"/>
        </w:rPr>
        <w:t></w:t>
      </w:r>
      <w:r w:rsidRPr="00681B11">
        <w:rPr>
          <w:szCs w:val="22"/>
        </w:rPr>
        <w:t xml:space="preserve">g total RNA with on-column DNaseI-treatment as per the manufacturer's instructions. The eluted PolyA+ RNA was </w:t>
      </w:r>
      <w:r w:rsidRPr="00681B11">
        <w:rPr>
          <w:szCs w:val="22"/>
        </w:rPr>
        <w:lastRenderedPageBreak/>
        <w:t>ethanol precipitated and resuspended in 10</w:t>
      </w:r>
      <w:r>
        <w:rPr>
          <w:rFonts w:ascii="Symbol" w:hAnsi="Symbol"/>
          <w:szCs w:val="22"/>
        </w:rPr>
        <w:t></w:t>
      </w:r>
      <w:r w:rsidRPr="00681B11">
        <w:rPr>
          <w:szCs w:val="22"/>
        </w:rPr>
        <w:t xml:space="preserve">L of DEPC treated water with 1:20 SuperaseIN </w:t>
      </w:r>
      <w:r>
        <w:rPr>
          <w:szCs w:val="22"/>
        </w:rPr>
        <w:t>(Life Technologies, USA).</w:t>
      </w:r>
    </w:p>
    <w:p w14:paraId="6C5554D1" w14:textId="31605B02" w:rsidR="00537904" w:rsidRDefault="00537904" w:rsidP="00CB60D2">
      <w:pPr>
        <w:ind w:firstLine="720"/>
        <w:rPr>
          <w:szCs w:val="22"/>
        </w:rPr>
      </w:pPr>
      <w:r w:rsidRPr="00537904">
        <w:rPr>
          <w:szCs w:val="22"/>
        </w:rPr>
        <w:t>First</w:t>
      </w:r>
      <w:r w:rsidR="009F43E7">
        <w:rPr>
          <w:szCs w:val="22"/>
        </w:rPr>
        <w:t xml:space="preserve">-strand cDNA for mRNA-seq </w:t>
      </w:r>
      <w:r w:rsidRPr="00537904">
        <w:rPr>
          <w:szCs w:val="22"/>
        </w:rPr>
        <w:t>was synthesized from the purified polyadenylated messenger RNA using Superscript II Reverse Transcriptase (Thermo-Fishe</w:t>
      </w:r>
      <w:r w:rsidR="009F43E7">
        <w:rPr>
          <w:szCs w:val="22"/>
        </w:rPr>
        <w:t xml:space="preserve">r, USA). </w:t>
      </w:r>
      <w:r w:rsidRPr="00537904">
        <w:rPr>
          <w:szCs w:val="22"/>
        </w:rPr>
        <w:t>Second strand cDNA was synthesized following the Superscript cDNA Synthesis protocol by replacing the dTTP with dUTP in dNTP mix, allowing the second strand to be digested using UNG (Uracil-N-Glycosylase, Life Technologies, USA) in the post-adapter ligation reaction and thus achieving strand specificity.</w:t>
      </w:r>
    </w:p>
    <w:p w14:paraId="295F89DF" w14:textId="00A23CD3" w:rsidR="00CB60D2" w:rsidRDefault="00CB60D2" w:rsidP="00CB60D2">
      <w:pPr>
        <w:ind w:firstLine="720"/>
        <w:rPr>
          <w:szCs w:val="22"/>
        </w:rPr>
      </w:pPr>
      <w:r w:rsidRPr="004D5ACD">
        <w:rPr>
          <w:szCs w:val="22"/>
        </w:rPr>
        <w:t>cDNA</w:t>
      </w:r>
      <w:r>
        <w:rPr>
          <w:szCs w:val="22"/>
        </w:rPr>
        <w:t>s</w:t>
      </w:r>
      <w:r w:rsidRPr="004D5ACD">
        <w:rPr>
          <w:szCs w:val="22"/>
        </w:rPr>
        <w:t xml:space="preserve"> </w:t>
      </w:r>
      <w:r>
        <w:rPr>
          <w:szCs w:val="22"/>
        </w:rPr>
        <w:t>were</w:t>
      </w:r>
      <w:r w:rsidRPr="004D5ACD">
        <w:rPr>
          <w:szCs w:val="22"/>
        </w:rPr>
        <w:t xml:space="preserve"> fragmented </w:t>
      </w:r>
      <w:r>
        <w:rPr>
          <w:szCs w:val="22"/>
        </w:rPr>
        <w:t>using</w:t>
      </w:r>
      <w:r w:rsidRPr="004D5ACD">
        <w:rPr>
          <w:szCs w:val="22"/>
        </w:rPr>
        <w:t xml:space="preserve"> Covaris E210 sonication for 55 seconds at a “Duty cycle” of 20% and “Intensity” of 5. </w:t>
      </w:r>
      <w:r>
        <w:rPr>
          <w:szCs w:val="22"/>
        </w:rPr>
        <w:t>P</w:t>
      </w:r>
      <w:r w:rsidRPr="004D5ACD">
        <w:rPr>
          <w:szCs w:val="22"/>
        </w:rPr>
        <w:t>aired-end sequencing librar</w:t>
      </w:r>
      <w:r>
        <w:rPr>
          <w:szCs w:val="22"/>
        </w:rPr>
        <w:t>ies</w:t>
      </w:r>
      <w:r w:rsidRPr="004D5ACD">
        <w:rPr>
          <w:szCs w:val="22"/>
        </w:rPr>
        <w:t xml:space="preserve"> </w:t>
      </w:r>
      <w:r>
        <w:rPr>
          <w:szCs w:val="22"/>
        </w:rPr>
        <w:t>were</w:t>
      </w:r>
      <w:r w:rsidRPr="004D5ACD">
        <w:rPr>
          <w:szCs w:val="22"/>
        </w:rPr>
        <w:t xml:space="preserve"> prepared following the BC Cancer Agency Genome Sciences Centre strand-specific, plate-based and paired-end</w:t>
      </w:r>
      <w:r>
        <w:rPr>
          <w:szCs w:val="22"/>
        </w:rPr>
        <w:t xml:space="preserve"> (PE)</w:t>
      </w:r>
      <w:r w:rsidRPr="004D5ACD">
        <w:rPr>
          <w:szCs w:val="22"/>
        </w:rPr>
        <w:t xml:space="preserve"> library construction protocol</w:t>
      </w:r>
      <w:r>
        <w:rPr>
          <w:szCs w:val="22"/>
        </w:rPr>
        <w:t>s</w:t>
      </w:r>
      <w:r w:rsidRPr="004D5ACD">
        <w:rPr>
          <w:szCs w:val="22"/>
        </w:rPr>
        <w:t xml:space="preserve"> on a Biomek FX robot (Beckman-Coulter, USA). Briefly, cDNA was purified in 96-well format using Ampure XP SPRI beads, and was subject to end-repair and phosphorylation </w:t>
      </w:r>
      <w:r>
        <w:rPr>
          <w:szCs w:val="22"/>
        </w:rPr>
        <w:t>using</w:t>
      </w:r>
      <w:r w:rsidRPr="004D5ACD">
        <w:rPr>
          <w:szCs w:val="22"/>
        </w:rPr>
        <w:t xml:space="preserve"> T4 DNA polymerase, Klenow DNA Polymerase, and T4 polynucleotide kinase respectively in a single reaction, followed by </w:t>
      </w:r>
      <w:r>
        <w:rPr>
          <w:szCs w:val="22"/>
        </w:rPr>
        <w:t xml:space="preserve">SPRI bead </w:t>
      </w:r>
      <w:r w:rsidRPr="004D5ACD">
        <w:rPr>
          <w:szCs w:val="22"/>
        </w:rPr>
        <w:t>cl</w:t>
      </w:r>
      <w:r>
        <w:rPr>
          <w:szCs w:val="22"/>
        </w:rPr>
        <w:t>eanup</w:t>
      </w:r>
      <w:r w:rsidRPr="004D5ACD">
        <w:rPr>
          <w:szCs w:val="22"/>
        </w:rPr>
        <w:t xml:space="preserve"> and 3’ A-tailing </w:t>
      </w:r>
      <w:r>
        <w:rPr>
          <w:szCs w:val="22"/>
        </w:rPr>
        <w:t>using</w:t>
      </w:r>
      <w:r w:rsidRPr="004D5ACD">
        <w:rPr>
          <w:szCs w:val="22"/>
        </w:rPr>
        <w:t xml:space="preserve"> Klenow fragment (3’ to 5’ exo minus). Illumina PE adapter</w:t>
      </w:r>
      <w:r>
        <w:rPr>
          <w:szCs w:val="22"/>
        </w:rPr>
        <w:t>s were ligated and t</w:t>
      </w:r>
      <w:r w:rsidRPr="004D5ACD">
        <w:rPr>
          <w:szCs w:val="22"/>
        </w:rPr>
        <w:t>he adapter-ligated products were purified using Ampure XP SPRI beads, and digested with UNG (1U/</w:t>
      </w:r>
      <w:r>
        <w:rPr>
          <w:rFonts w:ascii="Symbol" w:hAnsi="Symbol"/>
          <w:szCs w:val="22"/>
        </w:rPr>
        <w:t></w:t>
      </w:r>
      <w:r w:rsidRPr="004D5ACD">
        <w:rPr>
          <w:szCs w:val="22"/>
        </w:rPr>
        <w:t>L) at 37</w:t>
      </w:r>
      <w:r w:rsidRPr="0006571D">
        <w:rPr>
          <w:vertAlign w:val="superscript"/>
        </w:rPr>
        <w:t>o</w:t>
      </w:r>
      <w:r w:rsidRPr="004D5ACD">
        <w:rPr>
          <w:szCs w:val="22"/>
        </w:rPr>
        <w:t>C for 30 min followed by deactivation at 95</w:t>
      </w:r>
      <w:r w:rsidRPr="0006571D">
        <w:rPr>
          <w:vertAlign w:val="superscript"/>
        </w:rPr>
        <w:t>o</w:t>
      </w:r>
      <w:r w:rsidRPr="004D5ACD">
        <w:rPr>
          <w:szCs w:val="22"/>
        </w:rPr>
        <w:t>C for 15 min. The digested cDNA</w:t>
      </w:r>
      <w:r>
        <w:rPr>
          <w:szCs w:val="22"/>
        </w:rPr>
        <w:t>s</w:t>
      </w:r>
      <w:r w:rsidRPr="004D5ACD">
        <w:rPr>
          <w:szCs w:val="22"/>
        </w:rPr>
        <w:t xml:space="preserve"> </w:t>
      </w:r>
      <w:r>
        <w:rPr>
          <w:szCs w:val="22"/>
        </w:rPr>
        <w:t>were</w:t>
      </w:r>
      <w:r w:rsidRPr="004D5ACD">
        <w:rPr>
          <w:szCs w:val="22"/>
        </w:rPr>
        <w:t xml:space="preserve"> purified using Ampure XP SPRI beads, and then PCR-amplified with Phusion DNA Polymerase (Thermo Fisher Scientific</w:t>
      </w:r>
      <w:r w:rsidR="007758C2">
        <w:rPr>
          <w:szCs w:val="22"/>
        </w:rPr>
        <w:t>,</w:t>
      </w:r>
      <w:r w:rsidRPr="004D5ACD">
        <w:rPr>
          <w:szCs w:val="22"/>
        </w:rPr>
        <w:t xml:space="preserve"> USA) using Illumina’s PE primer set, with cycle condition</w:t>
      </w:r>
      <w:r>
        <w:rPr>
          <w:szCs w:val="22"/>
        </w:rPr>
        <w:t>s</w:t>
      </w:r>
      <w:r w:rsidRPr="004D5ACD">
        <w:rPr>
          <w:szCs w:val="22"/>
        </w:rPr>
        <w:t xml:space="preserve"> 98˚C</w:t>
      </w:r>
      <w:r>
        <w:rPr>
          <w:szCs w:val="22"/>
        </w:rPr>
        <w:t xml:space="preserve"> for </w:t>
      </w:r>
      <w:r w:rsidRPr="004D5ACD">
        <w:rPr>
          <w:szCs w:val="22"/>
        </w:rPr>
        <w:t>30</w:t>
      </w:r>
      <w:r w:rsidR="007758C2">
        <w:rPr>
          <w:szCs w:val="22"/>
        </w:rPr>
        <w:t xml:space="preserve"> </w:t>
      </w:r>
      <w:r w:rsidRPr="004D5ACD">
        <w:rPr>
          <w:szCs w:val="22"/>
        </w:rPr>
        <w:t xml:space="preserve">sec followed by 10-13 cycles of 98˚C </w:t>
      </w:r>
      <w:r>
        <w:rPr>
          <w:szCs w:val="22"/>
        </w:rPr>
        <w:t>for</w:t>
      </w:r>
      <w:r w:rsidRPr="004D5ACD">
        <w:rPr>
          <w:szCs w:val="22"/>
        </w:rPr>
        <w:t xml:space="preserve"> 10 sec, 65˚C </w:t>
      </w:r>
      <w:r>
        <w:rPr>
          <w:szCs w:val="22"/>
        </w:rPr>
        <w:t>for 30 sec and 72˚C</w:t>
      </w:r>
      <w:r w:rsidRPr="004D5ACD">
        <w:rPr>
          <w:szCs w:val="22"/>
        </w:rPr>
        <w:t xml:space="preserve"> </w:t>
      </w:r>
      <w:r>
        <w:rPr>
          <w:szCs w:val="22"/>
        </w:rPr>
        <w:t xml:space="preserve">for </w:t>
      </w:r>
      <w:r w:rsidRPr="004D5ACD">
        <w:rPr>
          <w:szCs w:val="22"/>
        </w:rPr>
        <w:t xml:space="preserve">30 sec, and </w:t>
      </w:r>
      <w:r>
        <w:rPr>
          <w:szCs w:val="22"/>
        </w:rPr>
        <w:t xml:space="preserve">finally 72˚C for </w:t>
      </w:r>
      <w:r w:rsidRPr="004D5ACD">
        <w:rPr>
          <w:szCs w:val="22"/>
        </w:rPr>
        <w:t>5</w:t>
      </w:r>
      <w:r w:rsidR="007758C2">
        <w:rPr>
          <w:szCs w:val="22"/>
        </w:rPr>
        <w:t xml:space="preserve"> </w:t>
      </w:r>
      <w:r w:rsidRPr="004D5ACD">
        <w:rPr>
          <w:szCs w:val="22"/>
        </w:rPr>
        <w:t>min. The PCR products were purified using Ampure XP SPRI beads, and checked with Caliper LabChip GX for DNA samples using the High Sensitivity Assay (PerkinElmer, USA). PCR produ</w:t>
      </w:r>
      <w:r>
        <w:rPr>
          <w:szCs w:val="22"/>
        </w:rPr>
        <w:t>cts of the desired size range were purified using SPRI beads</w:t>
      </w:r>
      <w:r w:rsidRPr="004D5ACD">
        <w:rPr>
          <w:szCs w:val="22"/>
        </w:rPr>
        <w:t xml:space="preserve">, and the DNA quality was assessed and quantified using an Agilent DNA 1000 series II assay and Quant-iT dsDNA HS Assay Kit using </w:t>
      </w:r>
      <w:r>
        <w:rPr>
          <w:szCs w:val="22"/>
        </w:rPr>
        <w:t xml:space="preserve">a </w:t>
      </w:r>
      <w:r w:rsidRPr="004D5ACD">
        <w:rPr>
          <w:szCs w:val="22"/>
        </w:rPr>
        <w:t>Qubit fluorometer (Invitrogen), then diluted to 8nM</w:t>
      </w:r>
      <w:r>
        <w:rPr>
          <w:szCs w:val="22"/>
        </w:rPr>
        <w:t xml:space="preserve"> in preparation </w:t>
      </w:r>
      <w:r w:rsidRPr="004D5ACD">
        <w:rPr>
          <w:szCs w:val="22"/>
        </w:rPr>
        <w:t xml:space="preserve">for Illumina </w:t>
      </w:r>
      <w:r>
        <w:rPr>
          <w:szCs w:val="22"/>
        </w:rPr>
        <w:t>HiSeq2500 paired-end 75 base s</w:t>
      </w:r>
      <w:r w:rsidRPr="004D5ACD">
        <w:rPr>
          <w:szCs w:val="22"/>
        </w:rPr>
        <w:t>equencing.</w:t>
      </w:r>
    </w:p>
    <w:p w14:paraId="214DB477" w14:textId="52775253" w:rsidR="00844902" w:rsidRPr="00965D5C" w:rsidRDefault="00844902" w:rsidP="00844902">
      <w:pPr>
        <w:pStyle w:val="Heading2"/>
      </w:pPr>
      <w:bookmarkStart w:id="10" w:name="_Toc352927141"/>
      <w:r>
        <w:t>Novel miRNA Discovery</w:t>
      </w:r>
      <w:bookmarkEnd w:id="10"/>
    </w:p>
    <w:p w14:paraId="49FC2C8E" w14:textId="3F0C143A" w:rsidR="00844902" w:rsidRPr="00391323" w:rsidRDefault="005869FE" w:rsidP="00391323">
      <w:pPr>
        <w:ind w:firstLine="720"/>
        <w:rPr>
          <w:rFonts w:ascii="Helvetica" w:hAnsi="Helvetica"/>
        </w:rPr>
      </w:pPr>
      <w:r>
        <w:rPr>
          <w:rFonts w:ascii="Helvetica" w:hAnsi="Helvetica"/>
        </w:rPr>
        <w:lastRenderedPageBreak/>
        <w:t>To</w:t>
      </w:r>
      <w:r w:rsidR="006E50E0" w:rsidRPr="00037F6A">
        <w:rPr>
          <w:rFonts w:ascii="Helvetica" w:hAnsi="Helvetica"/>
        </w:rPr>
        <w:t xml:space="preserve"> identify miRNAs that </w:t>
      </w:r>
      <w:r w:rsidR="00391323">
        <w:rPr>
          <w:rFonts w:ascii="Helvetica" w:hAnsi="Helvetica"/>
        </w:rPr>
        <w:t>were not</w:t>
      </w:r>
      <w:r w:rsidR="006E50E0" w:rsidRPr="00037F6A">
        <w:rPr>
          <w:rFonts w:ascii="Helvetica" w:hAnsi="Helvetica"/>
        </w:rPr>
        <w:t xml:space="preserve"> previously repo</w:t>
      </w:r>
      <w:r w:rsidR="006E50E0">
        <w:rPr>
          <w:rFonts w:ascii="Helvetica" w:hAnsi="Helvetica"/>
        </w:rPr>
        <w:t>rted in mirBase (version 21), we</w:t>
      </w:r>
      <w:r w:rsidR="006E50E0" w:rsidRPr="00037F6A">
        <w:rPr>
          <w:rFonts w:ascii="Helvetica" w:hAnsi="Helvetica"/>
        </w:rPr>
        <w:t xml:space="preserve"> performed </w:t>
      </w:r>
      <w:r w:rsidR="006E50E0">
        <w:rPr>
          <w:rFonts w:ascii="Helvetica" w:hAnsi="Helvetica"/>
        </w:rPr>
        <w:t>novel miRNA discovery using mirD</w:t>
      </w:r>
      <w:r w:rsidR="006E50E0" w:rsidRPr="00037F6A">
        <w:rPr>
          <w:rFonts w:ascii="Helvetica" w:hAnsi="Helvetica"/>
        </w:rPr>
        <w:t>eep2</w:t>
      </w:r>
      <w:r w:rsidR="006E50E0">
        <w:rPr>
          <w:rFonts w:ascii="Helvetica" w:hAnsi="Helvetica"/>
        </w:rPr>
        <w:t xml:space="preserve">. Shortlisted putative novel miRNA species </w:t>
      </w:r>
      <w:r w:rsidR="00E02285">
        <w:rPr>
          <w:rFonts w:ascii="Helvetica" w:hAnsi="Helvetica"/>
        </w:rPr>
        <w:t>were</w:t>
      </w:r>
      <w:r w:rsidR="006E50E0">
        <w:rPr>
          <w:rFonts w:ascii="Helvetica" w:hAnsi="Helvetica"/>
        </w:rPr>
        <w:t xml:space="preserve"> those that: 1) had mirDeep2 scores of ≥10 in ≥10 miRNA-seq libraries, 2) were not predicted by mirD</w:t>
      </w:r>
      <w:r w:rsidR="00C16BBB">
        <w:rPr>
          <w:rFonts w:ascii="Helvetica" w:hAnsi="Helvetica"/>
        </w:rPr>
        <w:t>eep2 to be other types of RNA (eg</w:t>
      </w:r>
      <w:r w:rsidR="006E50E0">
        <w:rPr>
          <w:rFonts w:ascii="Helvetica" w:hAnsi="Helvetica"/>
        </w:rPr>
        <w:t>. rRNA, tRNA, snoRNA, etc.), 3) did not have genomic coordinates that intersected with UCSC genome browser annotation tracks using bedtools.</w:t>
      </w:r>
    </w:p>
    <w:p w14:paraId="5138FCDA" w14:textId="77777777" w:rsidR="00CB60D2" w:rsidRPr="00965D5C" w:rsidRDefault="00CB60D2" w:rsidP="00CB60D2">
      <w:pPr>
        <w:pStyle w:val="Heading2"/>
      </w:pPr>
      <w:bookmarkStart w:id="11" w:name="_Toc305962877"/>
      <w:bookmarkStart w:id="12" w:name="_Toc307564429"/>
      <w:bookmarkStart w:id="13" w:name="_Toc352927142"/>
      <w:r w:rsidRPr="00965D5C">
        <w:t>mRNA isoform-specific expression profiling of mRNA-seq</w:t>
      </w:r>
      <w:bookmarkEnd w:id="11"/>
      <w:bookmarkEnd w:id="12"/>
      <w:bookmarkEnd w:id="13"/>
      <w:r w:rsidRPr="00965D5C">
        <w:t xml:space="preserve"> </w:t>
      </w:r>
    </w:p>
    <w:p w14:paraId="1249084F" w14:textId="14451EF6" w:rsidR="00CB60D2" w:rsidRDefault="00CB60D2" w:rsidP="00CB60D2">
      <w:pPr>
        <w:ind w:firstLine="720"/>
        <w:rPr>
          <w:szCs w:val="22"/>
        </w:rPr>
      </w:pPr>
      <w:r w:rsidRPr="005047A7">
        <w:rPr>
          <w:szCs w:val="22"/>
        </w:rPr>
        <w:t xml:space="preserve">The </w:t>
      </w:r>
      <w:r>
        <w:rPr>
          <w:szCs w:val="22"/>
        </w:rPr>
        <w:t>mRNA-seq</w:t>
      </w:r>
      <w:r w:rsidRPr="005047A7">
        <w:rPr>
          <w:szCs w:val="22"/>
        </w:rPr>
        <w:t xml:space="preserve"> paired-end reads were aligned to </w:t>
      </w:r>
      <w:r w:rsidR="0045312E">
        <w:rPr>
          <w:szCs w:val="22"/>
        </w:rPr>
        <w:t xml:space="preserve">the </w:t>
      </w:r>
      <w:r w:rsidRPr="005047A7">
        <w:rPr>
          <w:szCs w:val="22"/>
        </w:rPr>
        <w:t xml:space="preserve">RefSeq hg19 </w:t>
      </w:r>
      <w:r w:rsidR="0045312E">
        <w:rPr>
          <w:szCs w:val="22"/>
        </w:rPr>
        <w:t xml:space="preserve">reference </w:t>
      </w:r>
      <w:r w:rsidRPr="005047A7">
        <w:rPr>
          <w:szCs w:val="22"/>
        </w:rPr>
        <w:t>genome using TopHat v1.4.1</w:t>
      </w:r>
      <w:r w:rsidR="0098788A" w:rsidRPr="005047A7">
        <w:rPr>
          <w:szCs w:val="22"/>
        </w:rPr>
        <w:fldChar w:fldCharType="begin"/>
      </w:r>
      <w:r w:rsidR="00A05ECB">
        <w:rPr>
          <w:szCs w:val="22"/>
        </w:rPr>
        <w:instrText xml:space="preserve"> ADDIN PAPERS2_CITATIONS &lt;citation&gt;&lt;uuid&gt;46CDB7E3-6391-42A0-AB25-F06C92B468B6&lt;/uuid&gt;&lt;priority&gt;3&lt;/priority&gt;&lt;publications&gt;&lt;publication&gt;&lt;uuid&gt;8F957426-E84D-4CA2-9622-400ED4A45C80&lt;/uuid&gt;&lt;volume&gt;16&lt;/volume&gt;&lt;accepted_date&gt;99201412111200000000222000&lt;/accepted_date&gt;&lt;doi&gt;10.1186/s13059-014-0568-y&lt;/doi&gt;&lt;startpage&gt;18&lt;/startpage&gt;&lt;publication_date&gt;99201500001200000000200000&lt;/publication_date&gt;&lt;url&gt;http://eutils.ncbi.nlm.nih.gov/entrez/eutils/elink.fcgi?dbfrom=pubmed&amp;amp;id=25723320&amp;amp;retmode=ref&amp;amp;cmd=prlinks&lt;/url&gt;&lt;type&gt;400&lt;/type&gt;&lt;title&gt;Comprehensive miRNA sequence analysis reveals survival differences in diffuse large B-cell lymphoma patients.&lt;/title&gt;&lt;submission_date&gt;99201409101200000000222000&lt;/submission_date&gt;&lt;number&gt;1&lt;/number&gt;&lt;subtype&gt;400&lt;/subtype&gt;&lt;bundle&gt;&lt;publication&gt;&lt;title&gt;Genome biology&lt;/title&gt;&lt;type&gt;-100&lt;/type&gt;&lt;subtype&gt;-100&lt;/subtype&gt;&lt;uuid&gt;D0BC1025-31CD-4893-9222-0AC358A122DD&lt;/uuid&gt;&lt;/publication&gt;&lt;/bundle&gt;&lt;authors&gt;&lt;author&gt;&lt;firstName&gt;Emilia&lt;/firstName&gt;&lt;middleNames&gt;L&lt;/middleNames&gt;&lt;lastName&gt;Lim&lt;/lastName&gt;&lt;/author&gt;&lt;author&gt;&lt;firstName&gt;Diane&lt;/firstName&gt;&lt;middleNames&gt;L&lt;/middleNames&gt;&lt;lastName&gt;Trinh&lt;/lastName&gt;&lt;/author&gt;&lt;author&gt;&lt;firstName&gt;David&lt;/firstName&gt;&lt;middleNames&gt;W&lt;/middleNames&gt;&lt;lastName&gt;Scott&lt;/lastName&gt;&lt;/author&gt;&lt;author&gt;&lt;firstName&gt;Andy&lt;/firstName&gt;&lt;lastName&gt;Chu&lt;/lastName&gt;&lt;/author&gt;&lt;author&gt;&lt;firstName&gt;Martin&lt;/firstName&gt;&lt;lastName&gt;Krzywinski&lt;/lastName&gt;&lt;/author&gt;&lt;author&gt;&lt;firstName&gt;Yongjun&lt;/firstName&gt;&lt;lastName&gt;Zhao&lt;/lastName&gt;&lt;/author&gt;&lt;author&gt;&lt;firstName&gt;A&lt;/firstName&gt;&lt;middleNames&gt;Gordon&lt;/middleNames&gt;&lt;lastName&gt;Robertson&lt;/lastName&gt;&lt;/author&gt;&lt;author&gt;&lt;firstName&gt;Andrew&lt;/firstName&gt;&lt;middleNames&gt;J&lt;/middleNames&gt;&lt;lastName&gt;Mungall&lt;/lastName&gt;&lt;/author&gt;&lt;author&gt;&lt;firstName&gt;Jacqueline&lt;/firstName&gt;&lt;lastName&gt;Schein&lt;/lastName&gt;&lt;/author&gt;&lt;author&gt;&lt;firstName&gt;Merrill&lt;/firstName&gt;&lt;lastName&gt;Boyle&lt;/lastName&gt;&lt;/author&gt;&lt;author&gt;&lt;firstName&gt;Anja&lt;/firstName&gt;&lt;lastName&gt;Mottok&lt;/lastName&gt;&lt;/author&gt;&lt;author&gt;&lt;firstName&gt;Daisuke&lt;/firstName&gt;&lt;lastName&gt;Ennishi&lt;/lastName&gt;&lt;/author&gt;&lt;author&gt;&lt;firstName&gt;Nathalie&lt;/firstName&gt;&lt;middleNames&gt;A&lt;/middleNames&gt;&lt;lastName&gt;Johnson&lt;/lastName&gt;&lt;/author&gt;&lt;author&gt;&lt;firstName&gt;Christian&lt;/firstName&gt;&lt;lastName&gt;Steidl&lt;/lastName&gt;&lt;/author&gt;&lt;author&gt;&lt;firstName&gt;Joseph&lt;/firstName&gt;&lt;middleNames&gt;M&lt;/middleNames&gt;&lt;lastName&gt;Connors&lt;/lastName&gt;&lt;/author&gt;&lt;author&gt;&lt;firstName&gt;Ryan&lt;/firstName&gt;&lt;middleNames&gt;D&lt;/middleNames&gt;&lt;lastName&gt;Morin&lt;/lastName&gt;&lt;/author&gt;&lt;author&gt;&lt;firstName&gt;Randy&lt;/firstName&gt;&lt;middleNames&gt;D&lt;/middleNames&gt;&lt;lastName&gt;Gascoyne&lt;/lastName&gt;&lt;/author&gt;&lt;author&gt;&lt;firstName&gt;Marco&lt;/firstName&gt;&lt;middleNames&gt;A&lt;/middleNames&gt;&lt;lastName&gt;Marra&lt;/lastName&gt;&lt;/author&gt;&lt;/authors&gt;&lt;/publication&gt;&lt;publication&gt;&lt;uuid&gt;55F3668F-50D1-418A-A557-D7517C4BF079&lt;/uuid&gt;&lt;volume&gt;7&lt;/volume&gt;&lt;doi&gt;10.1038/nprot.2012.016&lt;/doi&gt;&lt;startpage&gt;562&lt;/startpage&gt;&lt;publication_date&gt;99201203001200000000220000&lt;/publication_date&gt;&lt;url&gt;http://eutils.ncbi.nlm.nih.gov/entrez/eutils/elink.fcgi?dbfrom=pubmed&amp;amp;id=22383036&amp;amp;retmode=ref&amp;amp;cmd=prlinks&lt;/url&gt;&lt;type&gt;400&lt;/type&gt;&lt;title&gt;Differential gene and transcript expression analysis of RNA-seq experiments with TopHat and Cufflinks.&lt;/title&gt;&lt;location&gt;200,9,42.3628036,-71.0890522&lt;/location&gt;&lt;institution&gt;Broad Institute of MIT and Harvard, Cambridge, Massachusetts, USA. cole@broadinstitute.org&lt;/institution&gt;&lt;number&gt;3&lt;/number&gt;&lt;subtype&gt;400&lt;/subtype&gt;&lt;endpage&gt;578&lt;/endpage&gt;&lt;bundle&gt;&lt;publication&gt;&lt;title&gt;Nature protocols&lt;/title&gt;&lt;type&gt;-100&lt;/type&gt;&lt;subtype&gt;-100&lt;/subtype&gt;&lt;uuid&gt;877384BA-F139-4F19-B0FA-5A56F5F27A85&lt;/uuid&gt;&lt;/publication&gt;&lt;/bundle&gt;&lt;authors&gt;&lt;author&gt;&lt;firstName&gt;Cole&lt;/firstName&gt;&lt;lastName&gt;Trapnell&lt;/lastName&gt;&lt;/author&gt;&lt;author&gt;&lt;firstName&gt;Adam&lt;/firstName&gt;&lt;lastName&gt;Roberts&lt;/lastName&gt;&lt;/author&gt;&lt;author&gt;&lt;firstName&gt;Loyal&lt;/firstName&gt;&lt;lastName&gt;Goff&lt;/lastName&gt;&lt;/author&gt;&lt;author&gt;&lt;firstName&gt;Geo&lt;/firstName&gt;&lt;lastName&gt;Pertea&lt;/lastName&gt;&lt;/author&gt;&lt;author&gt;&lt;firstName&gt;Daehwan&lt;/firstName&gt;&lt;lastName&gt;Kim&lt;/lastName&gt;&lt;/author&gt;&lt;author&gt;&lt;firstName&gt;David&lt;/firstName&gt;&lt;middleNames&gt;R&lt;/middleNames&gt;&lt;lastName&gt;Kelley&lt;/lastName&gt;&lt;/author&gt;&lt;author&gt;&lt;firstName&gt;Harold&lt;/firstName&gt;&lt;lastName&gt;Pimentel&lt;/lastName&gt;&lt;/author&gt;&lt;author&gt;&lt;firstName&gt;Steven&lt;/firstName&gt;&lt;middleNames&gt;L&lt;/middleNames&gt;&lt;lastName&gt;Salzberg&lt;/lastName&gt;&lt;/author&gt;&lt;author&gt;&lt;firstName&gt;John&lt;/firstName&gt;&lt;middleNames&gt;L&lt;/middleNames&gt;&lt;lastName&gt;Rinn&lt;/lastName&gt;&lt;/author&gt;&lt;author&gt;&lt;firstName&gt;Lior&lt;/firstName&gt;&lt;lastName&gt;Pachter&lt;/lastName&gt;&lt;/author&gt;&lt;/authors&gt;&lt;/publication&gt;&lt;/publications&gt;&lt;cites&gt;&lt;/cites&gt;&lt;/citation&gt;</w:instrText>
      </w:r>
      <w:r w:rsidR="0098788A" w:rsidRPr="005047A7">
        <w:rPr>
          <w:szCs w:val="22"/>
        </w:rPr>
        <w:fldChar w:fldCharType="separate"/>
      </w:r>
      <w:r w:rsidR="005E6B90">
        <w:rPr>
          <w:rFonts w:eastAsiaTheme="minorEastAsia" w:cs="Arial"/>
          <w:szCs w:val="22"/>
          <w:vertAlign w:val="superscript"/>
        </w:rPr>
        <w:t>1,6</w:t>
      </w:r>
      <w:r w:rsidR="0098788A" w:rsidRPr="005047A7">
        <w:rPr>
          <w:szCs w:val="22"/>
        </w:rPr>
        <w:fldChar w:fldCharType="end"/>
      </w:r>
      <w:r w:rsidRPr="005047A7">
        <w:rPr>
          <w:szCs w:val="22"/>
        </w:rPr>
        <w:t>. Alignments were then interrogated for isoform-specific expression profiles using Cufflinks v1.3.0</w:t>
      </w:r>
      <w:r w:rsidR="0098788A" w:rsidRPr="005047A7">
        <w:rPr>
          <w:szCs w:val="22"/>
        </w:rPr>
        <w:fldChar w:fldCharType="begin"/>
      </w:r>
      <w:r w:rsidR="00A05ECB">
        <w:rPr>
          <w:szCs w:val="22"/>
        </w:rPr>
        <w:instrText xml:space="preserve"> ADDIN PAPERS2_CITATIONS &lt;citation&gt;&lt;uuid&gt;FEE14195-9B28-4279-903B-6E9E2ADA15B8&lt;/uuid&gt;&lt;priority&gt;4&lt;/priority&gt;&lt;publications&gt;&lt;publication&gt;&lt;publication_date&gt;99201408041200000000222000&lt;/publication_date&gt;&lt;doi&gt;10.1200/JCO.2014.55.3628&lt;/doi&gt;&lt;institution&gt;Alan S. Gamis, Children's Mercy Hospitals and Clinics, Kansas City, MO; Todd A. Alonzo, University of Southern California, Los Angeles; Robert B. Gerbing, Children's Oncology Group, Monrovia; Amy Heerema-McKenney, Stanford University, Palo Alto, CA; Soheil Meshinchi, Fred Hutchinson Cancer Center; Laura Winter, Children's Hospital and Regional Medical Center, Seattle, WA; Susana C. Raimondi, St Jude Children's Research Hospital, Memphis, TN; Betsy A. Hirsch, University of Minnesota, Minneapolis, MN; Samir B. Kahwash, Nationwide Children's Hospital, Columbus; Stella M. Davies, Cincinnati Children's Hospital Medical Center; Franklin O. Smith, University of Cincinnati, Cincinnati, OH; Kathleen Glick, Maine Children's Cancer Program, Scarborough, ME; Richard Aplenc, Children's Hospital of Philadelphia, Philadelphia, PA; Lillian Sung, Hospital for Sick Children, Toronto; and Patti Byron, British Columbia Children's Hospital, Vancouver, Canada. agamis@cmh.edu.&lt;/institution&gt;&lt;title&gt;Gemtuzumab Ozogamicin in Children and Adolescents With De Novo Acute Myeloid Leukemia Improves Event-Free Survival by Reducing Relapse Risk: Results From the Randomized Phase III Children's Oncology Group Trial AAML0531.&lt;/title&gt;&lt;uuid&gt;E612D128-9DBD-4E9A-97B5-64896794AEC5&lt;/uuid&gt;&lt;subtype&gt;400&lt;/subtype&gt;&lt;type&gt;400&lt;/type&gt;&lt;url&gt;http://eutils.ncbi.nlm.nih.gov/entrez/eutils/elink.fcgi?dbfrom=pubmed&amp;amp;id=25092781&amp;amp;retmode=ref&amp;amp;cmd=prlinks&lt;/url&gt;&lt;bundle&gt;&lt;publication&gt;&lt;title&gt;Journal of clinical oncology : official journal of the American Society of Clinical Oncology&lt;/title&gt;&lt;type&gt;-100&lt;/type&gt;&lt;subtype&gt;-100&lt;/subtype&gt;&lt;uuid&gt;5A43E9F9-3E06-46A5-A37C-54A6DE0F47FE&lt;/uuid&gt;&lt;/publication&gt;&lt;/bundle&gt;&lt;authors&gt;&lt;author&gt;&lt;firstName&gt;Alan&lt;/firstName&gt;&lt;middleNames&gt;S&lt;/middleNames&gt;&lt;lastName&gt;Gamis&lt;/lastName&gt;&lt;/author&gt;&lt;author&gt;&lt;firstName&gt;Todd&lt;/firstName&gt;&lt;middleNames&gt;A&lt;/middleNames&gt;&lt;lastName&gt;Alonzo&lt;/lastName&gt;&lt;/author&gt;&lt;author&gt;&lt;firstName&gt;Soheil&lt;/firstName&gt;&lt;lastName&gt;Meshinchi&lt;/lastName&gt;&lt;/author&gt;&lt;author&gt;&lt;firstName&gt;Lillian&lt;/firstName&gt;&lt;lastName&gt;Sung&lt;/lastName&gt;&lt;/author&gt;&lt;author&gt;&lt;firstName&gt;Robert&lt;/firstName&gt;&lt;middleNames&gt;B&lt;/middleNames&gt;&lt;lastName&gt;Gerbing&lt;/lastName&gt;&lt;/author&gt;&lt;author&gt;&lt;firstName&gt;Susana&lt;/firstName&gt;&lt;middleNames&gt;C&lt;/middleNames&gt;&lt;lastName&gt;Raimondi&lt;/lastName&gt;&lt;/author&gt;&lt;author&gt;&lt;firstName&gt;Betsy&lt;/firstName&gt;&lt;middleNames&gt;A&lt;/middleNames&gt;&lt;lastName&gt;Hirsch&lt;/lastName&gt;&lt;/author&gt;&lt;author&gt;&lt;firstName&gt;Samir&lt;/firstName&gt;&lt;middleNames&gt;B&lt;/middleNames&gt;&lt;lastName&gt;Kahwash&lt;/lastName&gt;&lt;/author&gt;&lt;author&gt;&lt;firstName&gt;Amy&lt;/firstName&gt;&lt;lastName&gt;Heerema-McKenney&lt;/lastName&gt;&lt;/author&gt;&lt;author&gt;&lt;firstName&gt;Laura&lt;/firstName&gt;&lt;lastName&gt;Winter&lt;/lastName&gt;&lt;/author&gt;&lt;author&gt;&lt;firstName&gt;Kathleen&lt;/firstName&gt;&lt;lastName&gt;Glick&lt;/lastName&gt;&lt;/author&gt;&lt;author&gt;&lt;firstName&gt;Stella&lt;/firstName&gt;&lt;middleNames&gt;M&lt;/middleNames&gt;&lt;lastName&gt;Davies&lt;/lastName&gt;&lt;/author&gt;&lt;author&gt;&lt;firstName&gt;Patti&lt;/firstName&gt;&lt;lastName&gt;Byron&lt;/lastName&gt;&lt;/author&gt;&lt;author&gt;&lt;firstName&gt;Franklin&lt;/firstName&gt;&lt;middleNames&gt;O&lt;/middleNames&gt;&lt;lastName&gt;Smith&lt;/lastName&gt;&lt;/author&gt;&lt;author&gt;&lt;firstName&gt;Richard&lt;/firstName&gt;&lt;lastName&gt;Aplenc&lt;/lastName&gt;&lt;/author&gt;&lt;/authors&gt;&lt;/publication&gt;&lt;publication&gt;&lt;uuid&gt;55F3668F-50D1-418A-A557-D7517C4BF079&lt;/uuid&gt;&lt;volume&gt;7&lt;/volume&gt;&lt;doi&gt;10.1038/nprot.2012.016&lt;/doi&gt;&lt;startpage&gt;562&lt;/startpage&gt;&lt;publication_date&gt;99201203001200000000220000&lt;/publication_date&gt;&lt;url&gt;http://eutils.ncbi.nlm.nih.gov/entrez/eutils/elink.fcgi?dbfrom=pubmed&amp;amp;id=22383036&amp;amp;retmode=ref&amp;amp;cmd=prlinks&lt;/url&gt;&lt;type&gt;400&lt;/type&gt;&lt;title&gt;Differential gene and transcript expression analysis of RNA-seq experiments with TopHat and Cufflinks.&lt;/title&gt;&lt;location&gt;200,9,42.3628036,-71.0890522&lt;/location&gt;&lt;institution&gt;Broad Institute of MIT and Harvard, Cambridge, Massachusetts, USA. cole@broadinstitute.org&lt;/institution&gt;&lt;number&gt;3&lt;/number&gt;&lt;subtype&gt;400&lt;/subtype&gt;&lt;endpage&gt;578&lt;/endpage&gt;&lt;bundle&gt;&lt;publication&gt;&lt;title&gt;Nature protocols&lt;/title&gt;&lt;type&gt;-100&lt;/type&gt;&lt;subtype&gt;-100&lt;/subtype&gt;&lt;uuid&gt;877384BA-F139-4F19-B0FA-5A56F5F27A85&lt;/uuid&gt;&lt;/publication&gt;&lt;/bundle&gt;&lt;authors&gt;&lt;author&gt;&lt;firstName&gt;Cole&lt;/firstName&gt;&lt;lastName&gt;Trapnell&lt;/lastName&gt;&lt;/author&gt;&lt;author&gt;&lt;firstName&gt;Adam&lt;/firstName&gt;&lt;lastName&gt;Roberts&lt;/lastName&gt;&lt;/author&gt;&lt;author&gt;&lt;firstName&gt;Loyal&lt;/firstName&gt;&lt;lastName&gt;Goff&lt;/lastName&gt;&lt;/author&gt;&lt;author&gt;&lt;firstName&gt;Geo&lt;/firstName&gt;&lt;lastName&gt;Pertea&lt;/lastName&gt;&lt;/author&gt;&lt;author&gt;&lt;firstName&gt;Daehwan&lt;/firstName&gt;&lt;lastName&gt;Kim&lt;/lastName&gt;&lt;/author&gt;&lt;author&gt;&lt;firstName&gt;David&lt;/firstName&gt;&lt;middleNames&gt;R&lt;/middleNames&gt;&lt;lastName&gt;Kelley&lt;/lastName&gt;&lt;/author&gt;&lt;author&gt;&lt;firstName&gt;Harold&lt;/firstName&gt;&lt;lastName&gt;Pimentel&lt;/lastName&gt;&lt;/author&gt;&lt;author&gt;&lt;firstName&gt;Steven&lt;/firstName&gt;&lt;middleNames&gt;L&lt;/middleNames&gt;&lt;lastName&gt;Salzberg&lt;/lastName&gt;&lt;/author&gt;&lt;author&gt;&lt;firstName&gt;John&lt;/firstName&gt;&lt;middleNames&gt;L&lt;/middleNames&gt;&lt;lastName&gt;Rinn&lt;/lastName&gt;&lt;/author&gt;&lt;author&gt;&lt;firstName&gt;Lior&lt;/firstName&gt;&lt;lastName&gt;Pachter&lt;/lastName&gt;&lt;/author&gt;&lt;/authors&gt;&lt;/publication&gt;&lt;publication&gt;&lt;uuid&gt;8F957426-E84D-4CA2-9622-400ED4A45C80&lt;/uuid&gt;&lt;volume&gt;16&lt;/volume&gt;&lt;accepted_date&gt;99201412111200000000222000&lt;/accepted_date&gt;&lt;doi&gt;10.1186/s13059-014-0568-y&lt;/doi&gt;&lt;startpage&gt;18&lt;/startpage&gt;&lt;publication_date&gt;99201500001200000000200000&lt;/publication_date&gt;&lt;url&gt;http://eutils.ncbi.nlm.nih.gov/entrez/eutils/elink.fcgi?dbfrom=pubmed&amp;amp;id=25723320&amp;amp;retmode=ref&amp;amp;cmd=prlinks&lt;/url&gt;&lt;type&gt;400&lt;/type&gt;&lt;title&gt;Comprehensive miRNA sequence analysis reveals survival differences in diffuse large B-cell lymphoma patients.&lt;/title&gt;&lt;submission_date&gt;99201409101200000000222000&lt;/submission_date&gt;&lt;number&gt;1&lt;/number&gt;&lt;subtype&gt;400&lt;/subtype&gt;&lt;bundle&gt;&lt;publication&gt;&lt;title&gt;Genome biology&lt;/title&gt;&lt;type&gt;-100&lt;/type&gt;&lt;subtype&gt;-100&lt;/subtype&gt;&lt;uuid&gt;D0BC1025-31CD-4893-9222-0AC358A122DD&lt;/uuid&gt;&lt;/publication&gt;&lt;/bundle&gt;&lt;authors&gt;&lt;author&gt;&lt;firstName&gt;Emilia&lt;/firstName&gt;&lt;middleNames&gt;L&lt;/middleNames&gt;&lt;lastName&gt;Lim&lt;/lastName&gt;&lt;/author&gt;&lt;author&gt;&lt;firstName&gt;Diane&lt;/firstName&gt;&lt;middleNames&gt;L&lt;/middleNames&gt;&lt;lastName&gt;Trinh&lt;/lastName&gt;&lt;/author&gt;&lt;author&gt;&lt;firstName&gt;David&lt;/firstName&gt;&lt;middleNames&gt;W&lt;/middleNames&gt;&lt;lastName&gt;Scott&lt;/lastName&gt;&lt;/author&gt;&lt;author&gt;&lt;firstName&gt;Andy&lt;/firstName&gt;&lt;lastName&gt;Chu&lt;/lastName&gt;&lt;/author&gt;&lt;author&gt;&lt;firstName&gt;Martin&lt;/firstName&gt;&lt;lastName&gt;Krzywinski&lt;/lastName&gt;&lt;/author&gt;&lt;author&gt;&lt;firstName&gt;Yongjun&lt;/firstName&gt;&lt;lastName&gt;Zhao&lt;/lastName&gt;&lt;/author&gt;&lt;author&gt;&lt;firstName&gt;A&lt;/firstName&gt;&lt;middleNames&gt;Gordon&lt;/middleNames&gt;&lt;lastName&gt;Robertson&lt;/lastName&gt;&lt;/author&gt;&lt;author&gt;&lt;firstName&gt;Andrew&lt;/firstName&gt;&lt;middleNames&gt;J&lt;/middleNames&gt;&lt;lastName&gt;Mungall&lt;/lastName&gt;&lt;/author&gt;&lt;author&gt;&lt;firstName&gt;Jacqueline&lt;/firstName&gt;&lt;lastName&gt;Schein&lt;/lastName&gt;&lt;/author&gt;&lt;author&gt;&lt;firstName&gt;Merrill&lt;/firstName&gt;&lt;lastName&gt;Boyle&lt;/lastName&gt;&lt;/author&gt;&lt;author&gt;&lt;firstName&gt;Anja&lt;/firstName&gt;&lt;lastName&gt;Mottok&lt;/lastName&gt;&lt;/author&gt;&lt;author&gt;&lt;firstName&gt;Daisuke&lt;/firstName&gt;&lt;lastName&gt;Ennishi&lt;/lastName&gt;&lt;/author&gt;&lt;author&gt;&lt;firstName&gt;Nathalie&lt;/firstName&gt;&lt;middleNames&gt;A&lt;/middleNames&gt;&lt;lastName&gt;Johnson&lt;/lastName&gt;&lt;/author&gt;&lt;author&gt;&lt;firstName&gt;Christian&lt;/firstName&gt;&lt;lastName&gt;Steidl&lt;/lastName&gt;&lt;/author&gt;&lt;author&gt;&lt;firstName&gt;Joseph&lt;/firstName&gt;&lt;middleNames&gt;M&lt;/middleNames&gt;&lt;lastName&gt;Connors&lt;/lastName&gt;&lt;/author&gt;&lt;author&gt;&lt;firstName&gt;Ryan&lt;/firstName&gt;&lt;middleNames&gt;D&lt;/middleNames&gt;&lt;lastName&gt;Morin&lt;/lastName&gt;&lt;/author&gt;&lt;author&gt;&lt;firstName&gt;Randy&lt;/firstName&gt;&lt;middleNames&gt;D&lt;/middleNames&gt;&lt;lastName&gt;Gascoyne&lt;/lastName&gt;&lt;/author&gt;&lt;author&gt;&lt;firstName&gt;Marco&lt;/firstName&gt;&lt;middleNames&gt;A&lt;/middleNames&gt;&lt;lastName&gt;Marra&lt;/lastName&gt;&lt;/author&gt;&lt;/authors&gt;&lt;/publication&gt;&lt;/publications&gt;&lt;cites&gt;&lt;/cites&gt;&lt;/citation&gt;</w:instrText>
      </w:r>
      <w:r w:rsidR="0098788A" w:rsidRPr="005047A7">
        <w:rPr>
          <w:szCs w:val="22"/>
        </w:rPr>
        <w:fldChar w:fldCharType="separate"/>
      </w:r>
      <w:r w:rsidR="005E6B90">
        <w:rPr>
          <w:rFonts w:eastAsiaTheme="minorEastAsia" w:cs="Arial"/>
          <w:szCs w:val="22"/>
          <w:vertAlign w:val="superscript"/>
        </w:rPr>
        <w:t>1,2,6</w:t>
      </w:r>
      <w:r w:rsidR="0098788A" w:rsidRPr="005047A7">
        <w:rPr>
          <w:szCs w:val="22"/>
        </w:rPr>
        <w:fldChar w:fldCharType="end"/>
      </w:r>
      <w:r w:rsidRPr="005047A7">
        <w:rPr>
          <w:szCs w:val="22"/>
        </w:rPr>
        <w:t xml:space="preserve">. mRNA transcripts with at least 1 </w:t>
      </w:r>
      <w:r>
        <w:rPr>
          <w:szCs w:val="22"/>
        </w:rPr>
        <w:t>fragment per kilobase of transcript per m</w:t>
      </w:r>
      <w:r w:rsidRPr="002E350A">
        <w:rPr>
          <w:szCs w:val="22"/>
        </w:rPr>
        <w:t xml:space="preserve">illion mapped reads </w:t>
      </w:r>
      <w:r>
        <w:rPr>
          <w:szCs w:val="22"/>
        </w:rPr>
        <w:t>(</w:t>
      </w:r>
      <w:r w:rsidRPr="005047A7">
        <w:rPr>
          <w:szCs w:val="22"/>
        </w:rPr>
        <w:t>FPKM</w:t>
      </w:r>
      <w:r>
        <w:rPr>
          <w:szCs w:val="22"/>
        </w:rPr>
        <w:t>)</w:t>
      </w:r>
      <w:r w:rsidRPr="005047A7">
        <w:rPr>
          <w:szCs w:val="22"/>
        </w:rPr>
        <w:t xml:space="preserve"> in 1 </w:t>
      </w:r>
      <w:r>
        <w:rPr>
          <w:szCs w:val="22"/>
        </w:rPr>
        <w:t>mRNA-seq</w:t>
      </w:r>
      <w:r w:rsidRPr="005047A7">
        <w:rPr>
          <w:szCs w:val="22"/>
        </w:rPr>
        <w:t xml:space="preserve"> library were considered expressed and were </w:t>
      </w:r>
      <w:r>
        <w:rPr>
          <w:szCs w:val="22"/>
        </w:rPr>
        <w:t>ret</w:t>
      </w:r>
      <w:r w:rsidRPr="005047A7">
        <w:rPr>
          <w:szCs w:val="22"/>
        </w:rPr>
        <w:t>ained for analysis.</w:t>
      </w:r>
    </w:p>
    <w:p w14:paraId="16D0770C" w14:textId="656DDED5" w:rsidR="00F23C7C" w:rsidRPr="002E2E8D" w:rsidRDefault="00F23C7C" w:rsidP="00F23C7C">
      <w:pPr>
        <w:pStyle w:val="Heading2"/>
      </w:pPr>
      <w:bookmarkStart w:id="14" w:name="_Toc305962882"/>
      <w:bookmarkStart w:id="15" w:name="_Toc307564434"/>
      <w:bookmarkStart w:id="16" w:name="_Toc352927143"/>
      <w:r>
        <w:t xml:space="preserve">NMF clustering of miRNA </w:t>
      </w:r>
      <w:r w:rsidRPr="002E2E8D">
        <w:t>expression</w:t>
      </w:r>
      <w:bookmarkEnd w:id="14"/>
      <w:bookmarkEnd w:id="15"/>
      <w:bookmarkEnd w:id="16"/>
    </w:p>
    <w:p w14:paraId="02E6955A" w14:textId="2B45C34B" w:rsidR="007E661C" w:rsidRDefault="00F23C7C" w:rsidP="00F23C7C">
      <w:pPr>
        <w:ind w:firstLine="720"/>
        <w:rPr>
          <w:szCs w:val="22"/>
        </w:rPr>
      </w:pPr>
      <w:r>
        <w:rPr>
          <w:szCs w:val="22"/>
        </w:rPr>
        <w:t>Only p</w:t>
      </w:r>
      <w:r w:rsidRPr="005047A7">
        <w:rPr>
          <w:szCs w:val="22"/>
        </w:rPr>
        <w:t xml:space="preserve">rimary samples were included in the NMF clustering analysis. </w:t>
      </w:r>
      <w:r w:rsidR="007E661C">
        <w:rPr>
          <w:szCs w:val="22"/>
        </w:rPr>
        <w:t>We</w:t>
      </w:r>
      <w:r>
        <w:rPr>
          <w:szCs w:val="22"/>
        </w:rPr>
        <w:t xml:space="preserve"> </w:t>
      </w:r>
      <w:r w:rsidRPr="005047A7">
        <w:rPr>
          <w:szCs w:val="22"/>
        </w:rPr>
        <w:t>generated unsupervised consensus clusteri</w:t>
      </w:r>
      <w:r>
        <w:rPr>
          <w:szCs w:val="22"/>
        </w:rPr>
        <w:t xml:space="preserve">ng results as </w:t>
      </w:r>
      <w:r w:rsidR="00056562">
        <w:rPr>
          <w:szCs w:val="22"/>
        </w:rPr>
        <w:t xml:space="preserve">previously </w:t>
      </w:r>
      <w:r>
        <w:rPr>
          <w:szCs w:val="22"/>
        </w:rPr>
        <w:t>described</w:t>
      </w:r>
      <w:r w:rsidR="0098788A" w:rsidRPr="005047A7">
        <w:rPr>
          <w:szCs w:val="22"/>
        </w:rPr>
        <w:fldChar w:fldCharType="begin"/>
      </w:r>
      <w:r w:rsidR="00A05ECB">
        <w:rPr>
          <w:szCs w:val="22"/>
        </w:rPr>
        <w:instrText xml:space="preserve"> ADDIN PAPERS2_CITATIONS &lt;citation&gt;&lt;uuid&gt;5347496A-CCA1-48CC-A3CC-F3614CA71170&lt;/uuid&gt;&lt;priority&gt;5&lt;/priority&gt;&lt;publications&gt;&lt;publication&gt;&lt;uuid&gt;6075A762-AE7D-4FD1-95F4-6712836E78C7&lt;/uuid&gt;&lt;volume&gt;368&lt;/volume&gt;&lt;doi&gt;10.1056/NEJMoa1301689&lt;/doi&gt;&lt;startpage&gt;2059&lt;/startpage&gt;&lt;livfeID&gt;c8b88a79-392e-4791-825d-a686e8149821&lt;/livfeID&gt;&lt;publication_date&gt;99201305301200000000222000&lt;/publication_date&gt;&lt;url&gt;http://eutils.ncbi.nlm.nih.gov/entrez/eutils/elink.fcgi?dbfrom=pubmed&amp;amp;id=23634996&amp;amp;retmode=ref&amp;amp;cmd=prlinks&lt;/url&gt;&lt;type&gt;400&lt;/type&gt;&lt;title&gt;Genomic and epigenomic landscapes of adult de novo acute myeloid leukemia.&lt;/title&gt;&lt;location&gt;&amp;lt;html&amp;gt;&amp;lt;head&amp;gt;&amp;lt;meta http-equiv="content-type" content="text/html; charset=utf-8"/&amp;gt;&amp;lt;title&amp;gt;Sorry...&amp;lt;/title&amp;gt;&amp;lt;style&amp;gt; body { font-family: verdana, arial, sans-serif; background-color: #fff; color: #000; }&amp;lt;/style&amp;gt;&amp;lt;/head&amp;gt;&amp;lt;body&amp;gt;&amp;lt;div&amp;gt;&amp;lt;table&amp;gt;&amp;lt;tr&amp;gt;&amp;lt;td&amp;gt;&amp;lt;b&amp;gt;&amp;lt;font face=times color=#0039b6 size=10&amp;gt;G&amp;lt;/font&amp;gt;&amp;lt;font face=times color=#c41200 size=10&amp;gt;o&amp;lt;/font&amp;gt;&amp;lt;font face=times color=#f3c518 size=10&amp;gt;o&amp;lt;/font&amp;gt;&amp;lt;font face=times color=#0039b6 size=10&amp;gt;g&amp;lt;/font&amp;gt;&amp;lt;font face=times color=#30a72f size=10&amp;gt;l&amp;lt;/font&amp;gt;&amp;lt;font face=times color=#c41200 size=10&amp;gt;e&amp;lt;/font&amp;gt;&amp;lt;/b&amp;gt;&amp;lt;/td&amp;gt;&amp;lt;td style="text-align: left; vertical-align: bottom; padding-bottom: 15px; width: 50%"&amp;gt;&amp;lt;div style="border-bottom: 1px solid #dfdfdf;"&amp;gt;Sorry...&amp;lt;/div&amp;gt;&amp;lt;/td&amp;gt;&amp;lt;/tr&amp;gt;&amp;lt;/table&amp;gt;&amp;lt;/div&amp;gt;&amp;lt;div style="margin-left: 4em;"&amp;gt;&amp;lt;h1&amp;gt;We're sorry...&amp;lt;/h1&amp;gt;&amp;lt;p&amp;gt;... but your computer or network may be sending automated queries. To protect our users, we can't process your request right now.&amp;lt;/p&amp;gt;&amp;lt;/div&amp;gt;&amp;lt;div style="margin-left: 4em;"&amp;gt;See &amp;lt;a href="https://support.google.com/websearch/answer/86640"&amp;gt;Google Help&amp;lt;/a&amp;gt; for more information.&amp;lt;br/&amp;gt;&amp;lt;br/&amp;gt;&amp;lt;/div&amp;gt;&amp;lt;div style="text-align: center; border-top: 1px solid #dfdfdf;"&amp;gt;&amp;lt;a href="https://www.google.com"&amp;gt;Google Home&amp;lt;/a&amp;gt;&amp;lt;/div&amp;gt;&amp;lt;/body&amp;gt;&amp;lt;/html&amp;gt;&lt;/location&gt;&lt;institution&gt;The members of the Cancer Genome Atlas Research Network are listed in the Appendix.&lt;/institution&gt;&lt;number&gt;22&lt;/number&gt;&lt;subtype&gt;400&lt;/subtype&gt;&lt;endpage&gt;2074&lt;/endpage&gt;&lt;bundle&gt;&lt;publication&gt;&lt;title&gt;N Engl J Med&lt;/title&gt;&lt;type&gt;-100&lt;/type&gt;&lt;subtype&gt;-100&lt;/subtype&gt;&lt;uuid&gt;35A2BC61-7D1A-4108-AC33-B12FD7BA5F87&lt;/uuid&gt;&lt;/publication&gt;&lt;/bundle&gt;&lt;authors&gt;&lt;author&gt;&lt;lastName&gt;The Cancer Genome Atlas Research Network&lt;/lastName&gt;&lt;/author&gt;&lt;/authors&gt;&lt;/publication&gt;&lt;publication&gt;&lt;uuid&gt;BB3828E9-4C82-447F-8E1C-80AC46ED4E35&lt;/uuid&gt;&lt;volume&gt;10&lt;/volume&gt;&lt;doi&gt;10.1158/1078-0432.CCR-04-0713&lt;/doi&gt;&lt;startpage&gt;7252&lt;/startpage&gt;&lt;publication_date&gt;99200411011200000000222000&lt;/publication_date&gt;&lt;url&gt;http://eutils.ncbi.nlm.nih.gov/entrez/eutils/elink.fcgi?dbfrom=pubmed&amp;amp;id=15534099&amp;amp;retmode=ref&amp;amp;cmd=prlinks&lt;/url&gt;&lt;type&gt;400&lt;/type&gt;&lt;title&gt;X-tile: a new bio-informatics tool for biomarker assessment and outcome-based cut-point optimization.&lt;/title&gt;&lt;institution&gt;Department of Pathology, Yale University, School of Medicine, New Haven, Connecticut 06520, USA. robert.camp@yale.edu&lt;/institution&gt;&lt;number&gt;21&lt;/number&gt;&lt;subtype&gt;400&lt;/subtype&gt;&lt;endpage&gt;7259&lt;/endpage&gt;&lt;bundle&gt;&lt;publication&gt;&lt;title&gt;Clinical cancer research : an official journal of the American Association for Cancer Research&lt;/title&gt;&lt;type&gt;-100&lt;/type&gt;&lt;subtype&gt;-100&lt;/subtype&gt;&lt;uuid&gt;B1A057E6-0982-4439-86B8-789174EACD57&lt;/uuid&gt;&lt;/publication&gt;&lt;/bundle&gt;&lt;authors&gt;&lt;author&gt;&lt;firstName&gt;Robert&lt;/firstName&gt;&lt;middleNames&gt;L&lt;/middleNames&gt;&lt;lastName&gt;Camp&lt;/lastName&gt;&lt;/author&gt;&lt;author&gt;&lt;firstName&gt;Marisa&lt;/firstName&gt;&lt;lastName&gt;Dolled-Filhart&lt;/lastName&gt;&lt;/author&gt;&lt;author&gt;&lt;firstName&gt;David&lt;/firstName&gt;&lt;middleNames&gt;L&lt;/middleNames&gt;&lt;lastName&gt;Rimm&lt;/lastName&gt;&lt;/author&gt;&lt;/authors&gt;&lt;/publication&gt;&lt;/publications&gt;&lt;cites&gt;&lt;/cites&gt;&lt;/citation&gt;</w:instrText>
      </w:r>
      <w:r w:rsidR="0098788A" w:rsidRPr="005047A7">
        <w:rPr>
          <w:szCs w:val="22"/>
        </w:rPr>
        <w:fldChar w:fldCharType="separate"/>
      </w:r>
      <w:r w:rsidR="00747A0B">
        <w:rPr>
          <w:rFonts w:eastAsiaTheme="minorEastAsia" w:cs="Arial"/>
          <w:szCs w:val="22"/>
          <w:vertAlign w:val="superscript"/>
        </w:rPr>
        <w:t>3,4</w:t>
      </w:r>
      <w:r w:rsidR="0098788A" w:rsidRPr="005047A7">
        <w:rPr>
          <w:szCs w:val="22"/>
        </w:rPr>
        <w:fldChar w:fldCharType="end"/>
      </w:r>
      <w:r w:rsidRPr="005047A7">
        <w:rPr>
          <w:szCs w:val="22"/>
        </w:rPr>
        <w:t xml:space="preserve">. </w:t>
      </w:r>
      <w:r>
        <w:rPr>
          <w:szCs w:val="22"/>
        </w:rPr>
        <w:t>We</w:t>
      </w:r>
      <w:r w:rsidRPr="005047A7">
        <w:rPr>
          <w:szCs w:val="22"/>
        </w:rPr>
        <w:t xml:space="preserve"> used the default Brunet algorithm and 100 iterations for the </w:t>
      </w:r>
      <w:r>
        <w:rPr>
          <w:szCs w:val="22"/>
        </w:rPr>
        <w:t>clustering runs</w:t>
      </w:r>
      <w:r w:rsidRPr="005047A7">
        <w:rPr>
          <w:szCs w:val="22"/>
        </w:rPr>
        <w:t xml:space="preserve">. A preferred cluster result was selected by considering the profiles of the cophenetic scores of the consensus membership matrix for clustering </w:t>
      </w:r>
      <w:r>
        <w:rPr>
          <w:szCs w:val="22"/>
        </w:rPr>
        <w:t>solutions having between 2 and 15</w:t>
      </w:r>
      <w:r w:rsidRPr="005047A7">
        <w:rPr>
          <w:szCs w:val="22"/>
        </w:rPr>
        <w:t xml:space="preserve"> clusters.</w:t>
      </w:r>
    </w:p>
    <w:p w14:paraId="5673D19D" w14:textId="4F9680A0" w:rsidR="00F23C7C" w:rsidRDefault="00391323" w:rsidP="00F23C7C">
      <w:pPr>
        <w:ind w:firstLine="720"/>
        <w:rPr>
          <w:szCs w:val="22"/>
        </w:rPr>
      </w:pPr>
      <w:r>
        <w:rPr>
          <w:szCs w:val="22"/>
        </w:rPr>
        <w:t>We</w:t>
      </w:r>
      <w:r w:rsidR="002426BA">
        <w:rPr>
          <w:szCs w:val="22"/>
        </w:rPr>
        <w:t xml:space="preserve"> chose the 4-group (k=4</w:t>
      </w:r>
      <w:r w:rsidR="00F23C7C" w:rsidRPr="005047A7">
        <w:rPr>
          <w:szCs w:val="22"/>
        </w:rPr>
        <w:t>) solution as it had the</w:t>
      </w:r>
      <w:r w:rsidR="002426BA">
        <w:rPr>
          <w:szCs w:val="22"/>
        </w:rPr>
        <w:t xml:space="preserve"> second</w:t>
      </w:r>
      <w:r w:rsidR="00F23C7C" w:rsidRPr="005047A7">
        <w:rPr>
          <w:szCs w:val="22"/>
        </w:rPr>
        <w:t xml:space="preserve"> highest cophenetic score and produced a visually clean consensus matrix when compared with the other so</w:t>
      </w:r>
      <w:r w:rsidR="00331AEB">
        <w:rPr>
          <w:szCs w:val="22"/>
        </w:rPr>
        <w:t>lutions (Supplementary Figure S</w:t>
      </w:r>
      <w:r>
        <w:rPr>
          <w:szCs w:val="22"/>
        </w:rPr>
        <w:t>1</w:t>
      </w:r>
      <w:r w:rsidR="00F23C7C" w:rsidRPr="005047A7">
        <w:rPr>
          <w:szCs w:val="22"/>
        </w:rPr>
        <w:t>).</w:t>
      </w:r>
      <w:r w:rsidR="00F23C7C">
        <w:rPr>
          <w:szCs w:val="22"/>
        </w:rPr>
        <w:t xml:space="preserve"> </w:t>
      </w:r>
      <w:r w:rsidR="002426BA">
        <w:rPr>
          <w:szCs w:val="22"/>
        </w:rPr>
        <w:t xml:space="preserve">We chose the 4-group solution over the 2-group solution, which had the higher cophenetic score, </w:t>
      </w:r>
      <w:r w:rsidR="00C5011F">
        <w:rPr>
          <w:szCs w:val="22"/>
        </w:rPr>
        <w:t>rea</w:t>
      </w:r>
      <w:r w:rsidR="00EC520D">
        <w:rPr>
          <w:szCs w:val="22"/>
        </w:rPr>
        <w:t>soning that the 4-group solution</w:t>
      </w:r>
      <w:r w:rsidR="00C5011F">
        <w:rPr>
          <w:szCs w:val="22"/>
        </w:rPr>
        <w:t xml:space="preserve"> would </w:t>
      </w:r>
      <w:r w:rsidR="00EC520D">
        <w:rPr>
          <w:szCs w:val="22"/>
        </w:rPr>
        <w:t xml:space="preserve">uncover more insight into the heterogeneity </w:t>
      </w:r>
      <w:r w:rsidR="00921734">
        <w:rPr>
          <w:szCs w:val="22"/>
        </w:rPr>
        <w:t xml:space="preserve">of </w:t>
      </w:r>
      <w:r w:rsidR="00EC520D">
        <w:rPr>
          <w:szCs w:val="22"/>
        </w:rPr>
        <w:t>miRNA expression in pediatric AML</w:t>
      </w:r>
      <w:r w:rsidR="002426BA">
        <w:rPr>
          <w:szCs w:val="22"/>
        </w:rPr>
        <w:t>.</w:t>
      </w:r>
      <w:r w:rsidR="00EC520D">
        <w:rPr>
          <w:szCs w:val="22"/>
        </w:rPr>
        <w:t xml:space="preserve"> This proved to be true </w:t>
      </w:r>
      <w:r w:rsidR="00DF7CA5">
        <w:rPr>
          <w:szCs w:val="22"/>
        </w:rPr>
        <w:t>as</w:t>
      </w:r>
      <w:r w:rsidR="00EC520D">
        <w:rPr>
          <w:szCs w:val="22"/>
        </w:rPr>
        <w:t xml:space="preserve"> we observed significant enrichment of clinic</w:t>
      </w:r>
      <w:r w:rsidR="00C16BBB">
        <w:rPr>
          <w:szCs w:val="22"/>
        </w:rPr>
        <w:t>al characteristics in all 4 sub</w:t>
      </w:r>
      <w:r w:rsidR="00EC520D">
        <w:rPr>
          <w:szCs w:val="22"/>
        </w:rPr>
        <w:t xml:space="preserve">groups (Figure 2C). </w:t>
      </w:r>
      <w:r w:rsidR="00F23C7C">
        <w:rPr>
          <w:szCs w:val="22"/>
        </w:rPr>
        <w:t>Enrichment of particular clinical characteristics in each sub-group was determined using Fisher’s exact tests, where significant enrichment was reported if p-value &lt;0.05.</w:t>
      </w:r>
    </w:p>
    <w:p w14:paraId="61684F6B" w14:textId="77777777" w:rsidR="00CB60D2" w:rsidRPr="002E2E8D" w:rsidRDefault="00CB60D2" w:rsidP="00CB60D2">
      <w:pPr>
        <w:pStyle w:val="Heading2"/>
      </w:pPr>
      <w:bookmarkStart w:id="17" w:name="_Toc305962879"/>
      <w:bookmarkStart w:id="18" w:name="_Toc307564431"/>
      <w:bookmarkStart w:id="19" w:name="_Toc352927144"/>
      <w:r w:rsidRPr="002E2E8D">
        <w:t>Differential expression analysis</w:t>
      </w:r>
      <w:bookmarkEnd w:id="17"/>
      <w:bookmarkEnd w:id="18"/>
      <w:bookmarkEnd w:id="19"/>
    </w:p>
    <w:p w14:paraId="79BBB195" w14:textId="090B7BFA" w:rsidR="00CB60D2" w:rsidRPr="005047A7" w:rsidRDefault="00CB60D2" w:rsidP="00CB60D2">
      <w:pPr>
        <w:ind w:firstLine="720"/>
        <w:rPr>
          <w:szCs w:val="22"/>
        </w:rPr>
      </w:pPr>
      <w:r w:rsidRPr="005047A7">
        <w:rPr>
          <w:szCs w:val="22"/>
        </w:rPr>
        <w:lastRenderedPageBreak/>
        <w:t xml:space="preserve">Evaluation of the differential expression of miRNA was performed using the Wilcoxon ranked-sum test for each miRNA. </w:t>
      </w:r>
      <w:r>
        <w:rPr>
          <w:szCs w:val="22"/>
        </w:rPr>
        <w:t>We considered s</w:t>
      </w:r>
      <w:r w:rsidRPr="005047A7">
        <w:rPr>
          <w:szCs w:val="22"/>
        </w:rPr>
        <w:t>ignificantly differentially expressed miRNA</w:t>
      </w:r>
      <w:r>
        <w:rPr>
          <w:szCs w:val="22"/>
        </w:rPr>
        <w:t>s</w:t>
      </w:r>
      <w:r w:rsidRPr="005047A7">
        <w:rPr>
          <w:szCs w:val="22"/>
        </w:rPr>
        <w:t xml:space="preserve"> </w:t>
      </w:r>
      <w:r>
        <w:rPr>
          <w:szCs w:val="22"/>
        </w:rPr>
        <w:t>to be those with</w:t>
      </w:r>
      <w:r w:rsidRPr="005047A7">
        <w:rPr>
          <w:szCs w:val="22"/>
        </w:rPr>
        <w:t xml:space="preserve"> Bejamini-Hochberg (BH) multiple test </w:t>
      </w:r>
      <w:r w:rsidR="001857C0">
        <w:rPr>
          <w:szCs w:val="22"/>
        </w:rPr>
        <w:t>corrected p-values (q-values)&lt;</w:t>
      </w:r>
      <w:r w:rsidRPr="005047A7">
        <w:rPr>
          <w:szCs w:val="22"/>
        </w:rPr>
        <w:t>0.05.</w:t>
      </w:r>
    </w:p>
    <w:p w14:paraId="309888AE" w14:textId="77777777" w:rsidR="00CB60D2" w:rsidRPr="002E2E8D" w:rsidRDefault="00CB60D2" w:rsidP="00CB60D2">
      <w:pPr>
        <w:pStyle w:val="Heading2"/>
      </w:pPr>
      <w:bookmarkStart w:id="20" w:name="_Toc305962880"/>
      <w:bookmarkStart w:id="21" w:name="_Ref307522480"/>
      <w:bookmarkStart w:id="22" w:name="_Toc307564432"/>
      <w:bookmarkStart w:id="23" w:name="_Toc352927145"/>
      <w:r w:rsidRPr="002E2E8D">
        <w:t>Integrative miRNA:mRNA expression analysis</w:t>
      </w:r>
      <w:bookmarkEnd w:id="20"/>
      <w:bookmarkEnd w:id="21"/>
      <w:bookmarkEnd w:id="22"/>
      <w:bookmarkEnd w:id="23"/>
    </w:p>
    <w:p w14:paraId="66C0563F" w14:textId="29B45737" w:rsidR="00CB60D2" w:rsidRDefault="00CB60D2" w:rsidP="00CB60D2">
      <w:pPr>
        <w:ind w:firstLine="720"/>
      </w:pPr>
      <w:r w:rsidRPr="00C7018C">
        <w:rPr>
          <w:bCs/>
          <w:szCs w:val="22"/>
        </w:rPr>
        <w:t>Integrative miRNA:mRNA analy</w:t>
      </w:r>
      <w:r>
        <w:rPr>
          <w:bCs/>
          <w:szCs w:val="22"/>
        </w:rPr>
        <w:t xml:space="preserve">sis was performed as </w:t>
      </w:r>
      <w:r w:rsidR="00011F3D">
        <w:rPr>
          <w:bCs/>
          <w:szCs w:val="22"/>
        </w:rPr>
        <w:t>previously described</w:t>
      </w:r>
      <w:r w:rsidR="0098788A">
        <w:rPr>
          <w:b/>
          <w:bCs/>
          <w:szCs w:val="22"/>
        </w:rPr>
        <w:fldChar w:fldCharType="begin"/>
      </w:r>
      <w:r w:rsidR="00A05ECB">
        <w:rPr>
          <w:b/>
          <w:bCs/>
          <w:szCs w:val="22"/>
        </w:rPr>
        <w:instrText xml:space="preserve"> ADDIN PAPERS2_CITATIONS &lt;citation&gt;&lt;uuid&gt;F4A9B2BF-5C00-4FA9-BB0A-FAE0FBE41FA2&lt;/uuid&gt;&lt;priority&gt;6&lt;/priority&gt;&lt;publications&gt;&lt;publication&gt;&lt;uuid&gt;55F3668F-50D1-418A-A557-D7517C4BF079&lt;/uuid&gt;&lt;volume&gt;7&lt;/volume&gt;&lt;doi&gt;10.1038/nprot.2012.016&lt;/doi&gt;&lt;startpage&gt;562&lt;/startpage&gt;&lt;publication_date&gt;99201203001200000000220000&lt;/publication_date&gt;&lt;url&gt;http://eutils.ncbi.nlm.nih.gov/entrez/eutils/elink.fcgi?dbfrom=pubmed&amp;amp;id=22383036&amp;amp;retmode=ref&amp;amp;cmd=prlinks&lt;/url&gt;&lt;type&gt;400&lt;/type&gt;&lt;title&gt;Differential gene and transcript expression analysis of RNA-seq experiments with TopHat and Cufflinks.&lt;/title&gt;&lt;location&gt;200,9,42.3628036,-71.0890522&lt;/location&gt;&lt;institution&gt;Broad Institute of MIT and Harvard, Cambridge, Massachusetts, USA. cole@broadinstitute.org&lt;/institution&gt;&lt;number&gt;3&lt;/number&gt;&lt;subtype&gt;400&lt;/subtype&gt;&lt;endpage&gt;578&lt;/endpage&gt;&lt;bundle&gt;&lt;publication&gt;&lt;title&gt;Nature protocols&lt;/title&gt;&lt;type&gt;-100&lt;/type&gt;&lt;subtype&gt;-100&lt;/subtype&gt;&lt;uuid&gt;877384BA-F139-4F19-B0FA-5A56F5F27A85&lt;/uuid&gt;&lt;/publication&gt;&lt;/bundle&gt;&lt;authors&gt;&lt;author&gt;&lt;firstName&gt;Cole&lt;/firstName&gt;&lt;lastName&gt;Trapnell&lt;/lastName&gt;&lt;/author&gt;&lt;author&gt;&lt;firstName&gt;Adam&lt;/firstName&gt;&lt;lastName&gt;Roberts&lt;/lastName&gt;&lt;/author&gt;&lt;author&gt;&lt;firstName&gt;Loyal&lt;/firstName&gt;&lt;lastName&gt;Goff&lt;/lastName&gt;&lt;/author&gt;&lt;author&gt;&lt;firstName&gt;Geo&lt;/firstName&gt;&lt;lastName&gt;Pertea&lt;/lastName&gt;&lt;/author&gt;&lt;author&gt;&lt;firstName&gt;Daehwan&lt;/firstName&gt;&lt;lastName&gt;Kim&lt;/lastName&gt;&lt;/author&gt;&lt;author&gt;&lt;firstName&gt;David&lt;/firstName&gt;&lt;middleNames&gt;R&lt;/middleNames&gt;&lt;lastName&gt;Kelley&lt;/lastName&gt;&lt;/author&gt;&lt;author&gt;&lt;firstName&gt;Harold&lt;/firstName&gt;&lt;lastName&gt;Pimentel&lt;/lastName&gt;&lt;/author&gt;&lt;author&gt;&lt;firstName&gt;Steven&lt;/firstName&gt;&lt;middleNames&gt;L&lt;/middleNames&gt;&lt;lastName&gt;Salzberg&lt;/lastName&gt;&lt;/author&gt;&lt;author&gt;&lt;firstName&gt;John&lt;/firstName&gt;&lt;middleNames&gt;L&lt;/middleNames&gt;&lt;lastName&gt;Rinn&lt;/lastName&gt;&lt;/author&gt;&lt;author&gt;&lt;firstName&gt;Lior&lt;/firstName&gt;&lt;lastName&gt;Pachter&lt;/lastName&gt;&lt;/author&gt;&lt;/authors&gt;&lt;/publication&gt;&lt;publication&gt;&lt;publication_date&gt;99201408041200000000222000&lt;/publication_date&gt;&lt;doi&gt;10.1200/JCO.2014.55.3628&lt;/doi&gt;&lt;institution&gt;Alan S. Gamis, Children's Mercy Hospitals and Clinics, Kansas City, MO; Todd A. Alonzo, University of Southern California, Los Angeles; Robert B. Gerbing, Children's Oncology Group, Monrovia; Amy Heerema-McKenney, Stanford University, Palo Alto, CA; Soheil Meshinchi, Fred Hutchinson Cancer Center; Laura Winter, Children's Hospital and Regional Medical Center, Seattle, WA; Susana C. Raimondi, St Jude Children's Research Hospital, Memphis, TN; Betsy A. Hirsch, University of Minnesota, Minneapolis, MN; Samir B. Kahwash, Nationwide Children's Hospital, Columbus; Stella M. Davies, Cincinnati Children's Hospital Medical Center; Franklin O. Smith, University of Cincinnati, Cincinnati, OH; Kathleen Glick, Maine Children's Cancer Program, Scarborough, ME; Richard Aplenc, Children's Hospital of Philadelphia, Philadelphia, PA; Lillian Sung, Hospital for Sick Children, Toronto; and Patti Byron, British Columbia Children's Hospital, Vancouver, Canada. agamis@cmh.edu.&lt;/institution&gt;&lt;title&gt;Gemtuzumab Ozogamicin in Children and Adolescents With De Novo Acute Myeloid Leukemia Improves Event-Free Survival by Reducing Relapse Risk: Results From the Randomized Phase III Children's Oncology Group Trial AAML0531.&lt;/title&gt;&lt;uuid&gt;E612D128-9DBD-4E9A-97B5-64896794AEC5&lt;/uuid&gt;&lt;subtype&gt;400&lt;/subtype&gt;&lt;type&gt;400&lt;/type&gt;&lt;url&gt;http://eutils.ncbi.nlm.nih.gov/entrez/eutils/elink.fcgi?dbfrom=pubmed&amp;amp;id=25092781&amp;amp;retmode=ref&amp;amp;cmd=prlinks&lt;/url&gt;&lt;bundle&gt;&lt;publication&gt;&lt;title&gt;Journal of clinical oncology : official journal of the American Society of Clinical Oncology&lt;/title&gt;&lt;type&gt;-100&lt;/type&gt;&lt;subtype&gt;-100&lt;/subtype&gt;&lt;uuid&gt;5A43E9F9-3E06-46A5-A37C-54A6DE0F47FE&lt;/uuid&gt;&lt;/publication&gt;&lt;/bundle&gt;&lt;authors&gt;&lt;author&gt;&lt;firstName&gt;Alan&lt;/firstName&gt;&lt;middleNames&gt;S&lt;/middleNames&gt;&lt;lastName&gt;Gamis&lt;/lastName&gt;&lt;/author&gt;&lt;author&gt;&lt;firstName&gt;Todd&lt;/firstName&gt;&lt;middleNames&gt;A&lt;/middleNames&gt;&lt;lastName&gt;Alonzo&lt;/lastName&gt;&lt;/author&gt;&lt;author&gt;&lt;firstName&gt;Soheil&lt;/firstName&gt;&lt;lastName&gt;Meshinchi&lt;/lastName&gt;&lt;/author&gt;&lt;author&gt;&lt;firstName&gt;Lillian&lt;/firstName&gt;&lt;lastName&gt;Sung&lt;/lastName&gt;&lt;/author&gt;&lt;author&gt;&lt;firstName&gt;Robert&lt;/firstName&gt;&lt;middleNames&gt;B&lt;/middleNames&gt;&lt;lastName&gt;Gerbing&lt;/lastName&gt;&lt;/author&gt;&lt;author&gt;&lt;firstName&gt;Susana&lt;/firstName&gt;&lt;middleNames&gt;C&lt;/middleNames&gt;&lt;lastName&gt;Raimondi&lt;/lastName&gt;&lt;/author&gt;&lt;author&gt;&lt;firstName&gt;Betsy&lt;/firstName&gt;&lt;middleNames&gt;A&lt;/middleNames&gt;&lt;lastName&gt;Hirsch&lt;/lastName&gt;&lt;/author&gt;&lt;author&gt;&lt;firstName&gt;Samir&lt;/firstName&gt;&lt;middleNames&gt;B&lt;/middleNames&gt;&lt;lastName&gt;Kahwash&lt;/lastName&gt;&lt;/author&gt;&lt;author&gt;&lt;firstName&gt;Amy&lt;/firstName&gt;&lt;lastName&gt;Heerema-McKenney&lt;/lastName&gt;&lt;/author&gt;&lt;author&gt;&lt;firstName&gt;Laura&lt;/firstName&gt;&lt;lastName&gt;Winter&lt;/lastName&gt;&lt;/author&gt;&lt;author&gt;&lt;firstName&gt;Kathleen&lt;/firstName&gt;&lt;lastName&gt;Glick&lt;/lastName&gt;&lt;/author&gt;&lt;author&gt;&lt;firstName&gt;Stella&lt;/firstName&gt;&lt;middleNames&gt;M&lt;/middleNames&gt;&lt;lastName&gt;Davies&lt;/lastName&gt;&lt;/author&gt;&lt;author&gt;&lt;firstName&gt;Patti&lt;/firstName&gt;&lt;lastName&gt;Byron&lt;/lastName&gt;&lt;/author&gt;&lt;author&gt;&lt;firstName&gt;Franklin&lt;/firstName&gt;&lt;middleNames&gt;O&lt;/middleNames&gt;&lt;lastName&gt;Smith&lt;/lastName&gt;&lt;/author&gt;&lt;author&gt;&lt;firstName&gt;Richard&lt;/firstName&gt;&lt;lastName&gt;Aplenc&lt;/lastName&gt;&lt;/author&gt;&lt;/authors&gt;&lt;/publication&gt;&lt;publication&gt;&lt;uuid&gt;8F957426-E84D-4CA2-9622-400ED4A45C80&lt;/uuid&gt;&lt;volume&gt;16&lt;/volume&gt;&lt;accepted_date&gt;99201412111200000000222000&lt;/accepted_date&gt;&lt;doi&gt;10.1186/s13059-014-0568-y&lt;/doi&gt;&lt;startpage&gt;18&lt;/startpage&gt;&lt;publication_date&gt;99201500001200000000200000&lt;/publication_date&gt;&lt;url&gt;http://eutils.ncbi.nlm.nih.gov/entrez/eutils/elink.fcgi?dbfrom=pubmed&amp;amp;id=25723320&amp;amp;retmode=ref&amp;amp;cmd=prlinks&lt;/url&gt;&lt;type&gt;400&lt;/type&gt;&lt;title&gt;Comprehensive miRNA sequence analysis reveals survival differences in diffuse large B-cell lymphoma patients.&lt;/title&gt;&lt;submission_date&gt;99201409101200000000222000&lt;/submission_date&gt;&lt;number&gt;1&lt;/number&gt;&lt;subtype&gt;400&lt;/subtype&gt;&lt;bundle&gt;&lt;publication&gt;&lt;title&gt;Genome biology&lt;/title&gt;&lt;type&gt;-100&lt;/type&gt;&lt;subtype&gt;-100&lt;/subtype&gt;&lt;uuid&gt;D0BC1025-31CD-4893-9222-0AC358A122DD&lt;/uuid&gt;&lt;/publication&gt;&lt;/bundle&gt;&lt;authors&gt;&lt;author&gt;&lt;firstName&gt;Emilia&lt;/firstName&gt;&lt;middleNames&gt;L&lt;/middleNames&gt;&lt;lastName&gt;Lim&lt;/lastName&gt;&lt;/author&gt;&lt;author&gt;&lt;firstName&gt;Diane&lt;/firstName&gt;&lt;middleNames&gt;L&lt;/middleNames&gt;&lt;lastName&gt;Trinh&lt;/lastName&gt;&lt;/author&gt;&lt;author&gt;&lt;firstName&gt;David&lt;/firstName&gt;&lt;middleNames&gt;W&lt;/middleNames&gt;&lt;lastName&gt;Scott&lt;/lastName&gt;&lt;/author&gt;&lt;author&gt;&lt;firstName&gt;Andy&lt;/firstName&gt;&lt;lastName&gt;Chu&lt;/lastName&gt;&lt;/author&gt;&lt;author&gt;&lt;firstName&gt;Martin&lt;/firstName&gt;&lt;lastName&gt;Krzywinski&lt;/lastName&gt;&lt;/author&gt;&lt;author&gt;&lt;firstName&gt;Yongjun&lt;/firstName&gt;&lt;lastName&gt;Zhao&lt;/lastName&gt;&lt;/author&gt;&lt;author&gt;&lt;firstName&gt;A&lt;/firstName&gt;&lt;middleNames&gt;Gordon&lt;/middleNames&gt;&lt;lastName&gt;Robertson&lt;/lastName&gt;&lt;/author&gt;&lt;author&gt;&lt;firstName&gt;Andrew&lt;/firstName&gt;&lt;middleNames&gt;J&lt;/middleNames&gt;&lt;lastName&gt;Mungall&lt;/lastName&gt;&lt;/author&gt;&lt;author&gt;&lt;firstName&gt;Jacqueline&lt;/firstName&gt;&lt;lastName&gt;Schein&lt;/lastName&gt;&lt;/author&gt;&lt;author&gt;&lt;firstName&gt;Merrill&lt;/firstName&gt;&lt;lastName&gt;Boyle&lt;/lastName&gt;&lt;/author&gt;&lt;author&gt;&lt;firstName&gt;Anja&lt;/firstName&gt;&lt;lastName&gt;Mottok&lt;/lastName&gt;&lt;/author&gt;&lt;author&gt;&lt;firstName&gt;Daisuke&lt;/firstName&gt;&lt;lastName&gt;Ennishi&lt;/lastName&gt;&lt;/author&gt;&lt;author&gt;&lt;firstName&gt;Nathalie&lt;/firstName&gt;&lt;middleNames&gt;A&lt;/middleNames&gt;&lt;lastName&gt;Johnson&lt;/lastName&gt;&lt;/author&gt;&lt;author&gt;&lt;firstName&gt;Christian&lt;/firstName&gt;&lt;lastName&gt;Steidl&lt;/lastName&gt;&lt;/author&gt;&lt;author&gt;&lt;firstName&gt;Joseph&lt;/firstName&gt;&lt;middleNames&gt;M&lt;/middleNames&gt;&lt;lastName&gt;Connors&lt;/lastName&gt;&lt;/author&gt;&lt;author&gt;&lt;firstName&gt;Ryan&lt;/firstName&gt;&lt;middleNames&gt;D&lt;/middleNames&gt;&lt;lastName&gt;Morin&lt;/lastName&gt;&lt;/author&gt;&lt;author&gt;&lt;firstName&gt;Randy&lt;/firstName&gt;&lt;middleNames&gt;D&lt;/middleNames&gt;&lt;lastName&gt;Gascoyne&lt;/lastName&gt;&lt;/author&gt;&lt;author&gt;&lt;firstName&gt;Marco&lt;/firstName&gt;&lt;middleNames&gt;A&lt;/middleNames&gt;&lt;lastName&gt;Marra&lt;/lastName&gt;&lt;/author&gt;&lt;/authors&gt;&lt;/publication&gt;&lt;/publications&gt;&lt;cites&gt;&lt;/cites&gt;&lt;/citation&gt;</w:instrText>
      </w:r>
      <w:r w:rsidR="0098788A">
        <w:rPr>
          <w:b/>
          <w:bCs/>
          <w:szCs w:val="22"/>
        </w:rPr>
        <w:fldChar w:fldCharType="separate"/>
      </w:r>
      <w:r w:rsidR="005E6B90">
        <w:rPr>
          <w:rFonts w:eastAsiaTheme="minorEastAsia" w:cs="Arial"/>
          <w:szCs w:val="22"/>
          <w:vertAlign w:val="superscript"/>
        </w:rPr>
        <w:t>1,2,6</w:t>
      </w:r>
      <w:r w:rsidR="0098788A">
        <w:rPr>
          <w:b/>
          <w:bCs/>
          <w:szCs w:val="22"/>
        </w:rPr>
        <w:fldChar w:fldCharType="end"/>
      </w:r>
      <w:r w:rsidR="00011F3D">
        <w:rPr>
          <w:b/>
          <w:bCs/>
          <w:szCs w:val="22"/>
        </w:rPr>
        <w:t>.</w:t>
      </w:r>
      <w:r>
        <w:rPr>
          <w:b/>
          <w:bCs/>
          <w:szCs w:val="22"/>
        </w:rPr>
        <w:t xml:space="preserve"> </w:t>
      </w:r>
      <w:r>
        <w:t>We</w:t>
      </w:r>
      <w:r w:rsidRPr="005047A7">
        <w:t xml:space="preserve"> considered samples </w:t>
      </w:r>
      <w:r>
        <w:t xml:space="preserve">for </w:t>
      </w:r>
      <w:r w:rsidRPr="005047A7">
        <w:t xml:space="preserve">which </w:t>
      </w:r>
      <w:r>
        <w:t>we</w:t>
      </w:r>
      <w:r w:rsidRPr="005047A7">
        <w:t xml:space="preserve"> had both miRNA-seq and </w:t>
      </w:r>
      <w:r>
        <w:t>mRNA-seq data (n=164</w:t>
      </w:r>
      <w:r w:rsidRPr="005047A7">
        <w:t>).</w:t>
      </w:r>
      <w:r>
        <w:t xml:space="preserve"> Briefly, a Spearman correlation coefficient (rho) score and a p-value were generated for comparisons of expression profiles between all possible miRNA and mRNA pairs. Then, miRNA:mRNA pairs were shortlisted based on the presence of target site predictions (from both TargetScan and miRanda algorithms) and significant anti-correlation between mi</w:t>
      </w:r>
      <w:r w:rsidR="00C16BBB">
        <w:t xml:space="preserve">RNA and gene expression, with </w:t>
      </w:r>
      <w:r>
        <w:t>statistical significance determined from comparing against bootstrapping-based null distri</w:t>
      </w:r>
      <w:r w:rsidR="000272F3">
        <w:t>butions (Supplementary Figure S4</w:t>
      </w:r>
      <w:r>
        <w:t>).</w:t>
      </w:r>
    </w:p>
    <w:p w14:paraId="7BB9A352" w14:textId="5E582341" w:rsidR="00CB60D2" w:rsidRPr="001E1560" w:rsidRDefault="00CB60D2" w:rsidP="00CB60D2">
      <w:pPr>
        <w:ind w:firstLine="720"/>
      </w:pPr>
      <w:r w:rsidRPr="005047A7">
        <w:rPr>
          <w:szCs w:val="22"/>
        </w:rPr>
        <w:t xml:space="preserve">KEGG pathway enrichment </w:t>
      </w:r>
      <w:r>
        <w:rPr>
          <w:szCs w:val="22"/>
        </w:rPr>
        <w:t xml:space="preserve">of target genes </w:t>
      </w:r>
      <w:r w:rsidR="001A2FA1">
        <w:rPr>
          <w:szCs w:val="22"/>
        </w:rPr>
        <w:t xml:space="preserve">of </w:t>
      </w:r>
      <w:r w:rsidRPr="005047A7">
        <w:rPr>
          <w:szCs w:val="22"/>
        </w:rPr>
        <w:t>miRNA</w:t>
      </w:r>
      <w:r>
        <w:rPr>
          <w:szCs w:val="22"/>
        </w:rPr>
        <w:t xml:space="preserve">s </w:t>
      </w:r>
      <w:r w:rsidRPr="005047A7">
        <w:rPr>
          <w:szCs w:val="22"/>
        </w:rPr>
        <w:t>was performed</w:t>
      </w:r>
      <w:r>
        <w:rPr>
          <w:szCs w:val="22"/>
        </w:rPr>
        <w:t xml:space="preserve"> using Fisher’s exact test. The groups of miRNAs we considered were: </w:t>
      </w:r>
      <w:r w:rsidR="00921734">
        <w:rPr>
          <w:szCs w:val="22"/>
        </w:rPr>
        <w:t>(1) miRNAs in AMLmiR3</w:t>
      </w:r>
      <w:r w:rsidR="00306A5C">
        <w:rPr>
          <w:szCs w:val="22"/>
        </w:rPr>
        <w:t>6, (2</w:t>
      </w:r>
      <w:r>
        <w:rPr>
          <w:szCs w:val="22"/>
        </w:rPr>
        <w:t>) miRNAs that were abundantly expressed in refractor</w:t>
      </w:r>
      <w:r w:rsidR="00306A5C">
        <w:rPr>
          <w:szCs w:val="22"/>
        </w:rPr>
        <w:t>y samples vs primary samples; (3</w:t>
      </w:r>
      <w:r>
        <w:rPr>
          <w:szCs w:val="22"/>
        </w:rPr>
        <w:t>) miRNAs that were poorly expressed in refractor</w:t>
      </w:r>
      <w:r w:rsidR="00306A5C">
        <w:rPr>
          <w:szCs w:val="22"/>
        </w:rPr>
        <w:t>y samples vs primary samples; (4</w:t>
      </w:r>
      <w:r>
        <w:rPr>
          <w:szCs w:val="22"/>
        </w:rPr>
        <w:t>) miRNAs that were abundantly expressed in relapse sa</w:t>
      </w:r>
      <w:r w:rsidR="00F721F3">
        <w:rPr>
          <w:szCs w:val="22"/>
        </w:rPr>
        <w:t>mples vs primary samples;</w:t>
      </w:r>
      <w:r w:rsidR="00306A5C">
        <w:rPr>
          <w:szCs w:val="22"/>
        </w:rPr>
        <w:t xml:space="preserve"> and (5</w:t>
      </w:r>
      <w:r>
        <w:rPr>
          <w:szCs w:val="22"/>
        </w:rPr>
        <w:t>) miRNAs that were poorly expressed in relapse samples vs primary samples. S</w:t>
      </w:r>
      <w:r w:rsidRPr="005047A7">
        <w:rPr>
          <w:szCs w:val="22"/>
        </w:rPr>
        <w:t xml:space="preserve">ignificantly enriched </w:t>
      </w:r>
      <w:r>
        <w:rPr>
          <w:szCs w:val="22"/>
        </w:rPr>
        <w:t xml:space="preserve">pathways were those with </w:t>
      </w:r>
      <w:r w:rsidR="00C16BBB">
        <w:rPr>
          <w:szCs w:val="22"/>
        </w:rPr>
        <w:t>BH</w:t>
      </w:r>
      <w:r w:rsidR="00E40022">
        <w:rPr>
          <w:szCs w:val="22"/>
        </w:rPr>
        <w:t xml:space="preserve"> </w:t>
      </w:r>
      <w:r w:rsidR="00E40022" w:rsidRPr="005047A7">
        <w:rPr>
          <w:szCs w:val="22"/>
        </w:rPr>
        <w:t xml:space="preserve">multiple test corrected p-values (q-values) </w:t>
      </w:r>
      <w:r w:rsidRPr="005047A7">
        <w:rPr>
          <w:szCs w:val="22"/>
        </w:rPr>
        <w:t>&lt; 0.05.</w:t>
      </w:r>
      <w:r>
        <w:rPr>
          <w:szCs w:val="22"/>
        </w:rPr>
        <w:t xml:space="preserve"> </w:t>
      </w:r>
    </w:p>
    <w:p w14:paraId="1BBB8B56" w14:textId="77777777" w:rsidR="00CB60D2" w:rsidRDefault="00CB60D2" w:rsidP="00CB60D2">
      <w:pPr>
        <w:pStyle w:val="Heading2"/>
      </w:pPr>
      <w:bookmarkStart w:id="24" w:name="_Toc305962881"/>
      <w:bookmarkStart w:id="25" w:name="_Toc307564433"/>
      <w:bookmarkStart w:id="26" w:name="_Toc352927146"/>
      <w:r w:rsidRPr="002E2E8D">
        <w:t>Survival analysis</w:t>
      </w:r>
      <w:bookmarkEnd w:id="24"/>
      <w:bookmarkEnd w:id="25"/>
      <w:bookmarkEnd w:id="26"/>
    </w:p>
    <w:p w14:paraId="6F4E09F9" w14:textId="086D4300" w:rsidR="00E424D0" w:rsidRPr="00E424D0" w:rsidRDefault="00E424D0" w:rsidP="00E424D0">
      <w:pPr>
        <w:ind w:firstLine="720"/>
        <w:rPr>
          <w:szCs w:val="22"/>
        </w:rPr>
      </w:pPr>
      <w:r w:rsidRPr="00EC269E">
        <w:rPr>
          <w:szCs w:val="22"/>
        </w:rPr>
        <w:t xml:space="preserve">Overall survival (OS) was measured from the date of registration to the date of death due to any cause, with patients last known to be alive censored at the date of last contact. </w:t>
      </w:r>
      <w:r>
        <w:rPr>
          <w:szCs w:val="22"/>
        </w:rPr>
        <w:t>Event free survival (EFS)</w:t>
      </w:r>
      <w:r w:rsidRPr="00EC269E">
        <w:rPr>
          <w:szCs w:val="22"/>
        </w:rPr>
        <w:t xml:space="preserve"> was measured from the date of registration to the date of the first of the following events: removal from protocol therapy without achieving CR, progression, or death due to any cause. Patients who were last known to be alive and progression free were censored at the date of last contact.</w:t>
      </w:r>
    </w:p>
    <w:p w14:paraId="2FC24F16" w14:textId="64B29132" w:rsidR="00CB60D2" w:rsidRDefault="0070798F" w:rsidP="00CB60D2">
      <w:pPr>
        <w:ind w:firstLine="720"/>
        <w:rPr>
          <w:szCs w:val="22"/>
        </w:rPr>
      </w:pPr>
      <w:r>
        <w:rPr>
          <w:szCs w:val="22"/>
        </w:rPr>
        <w:lastRenderedPageBreak/>
        <w:t>In the Discovery Cohort (n=637), f</w:t>
      </w:r>
      <w:r w:rsidR="002E2C68">
        <w:rPr>
          <w:szCs w:val="22"/>
        </w:rPr>
        <w:t>or each miRNA</w:t>
      </w:r>
      <w:r w:rsidR="00CB60D2" w:rsidRPr="005047A7">
        <w:rPr>
          <w:szCs w:val="22"/>
        </w:rPr>
        <w:t xml:space="preserve">, </w:t>
      </w:r>
      <w:r w:rsidR="00CB60D2">
        <w:rPr>
          <w:szCs w:val="22"/>
        </w:rPr>
        <w:t>we</w:t>
      </w:r>
      <w:r w:rsidR="00CB60D2" w:rsidRPr="005047A7">
        <w:rPr>
          <w:szCs w:val="22"/>
        </w:rPr>
        <w:t xml:space="preserve"> performed Cox proportional hazards (PH) analysis using the Survival R package, where </w:t>
      </w:r>
      <w:r w:rsidR="00CB60D2">
        <w:rPr>
          <w:szCs w:val="22"/>
        </w:rPr>
        <w:t xml:space="preserve">(1) </w:t>
      </w:r>
      <w:r w:rsidR="00F76AF2">
        <w:rPr>
          <w:szCs w:val="22"/>
        </w:rPr>
        <w:t>Low/High</w:t>
      </w:r>
      <w:r w:rsidR="00CB60D2">
        <w:rPr>
          <w:szCs w:val="22"/>
        </w:rPr>
        <w:t xml:space="preserve"> expression groups or (2) </w:t>
      </w:r>
      <w:r w:rsidR="004A52BD">
        <w:rPr>
          <w:szCs w:val="22"/>
        </w:rPr>
        <w:t>r</w:t>
      </w:r>
      <w:r w:rsidR="00FE47C6">
        <w:rPr>
          <w:szCs w:val="22"/>
        </w:rPr>
        <w:t>eads per million mapped reads (RPM)</w:t>
      </w:r>
      <w:r w:rsidR="00CB60D2" w:rsidRPr="005047A7">
        <w:rPr>
          <w:szCs w:val="22"/>
        </w:rPr>
        <w:t xml:space="preserve"> values were used as input. Significant associations with survival were those with Benjamini-Hochberg </w:t>
      </w:r>
      <w:r w:rsidR="00BF6890">
        <w:rPr>
          <w:szCs w:val="22"/>
        </w:rPr>
        <w:t xml:space="preserve">(BH) </w:t>
      </w:r>
      <w:r w:rsidR="00CB60D2" w:rsidRPr="005047A7">
        <w:rPr>
          <w:szCs w:val="22"/>
        </w:rPr>
        <w:t>multiple tes</w:t>
      </w:r>
      <w:r w:rsidR="0065719B">
        <w:rPr>
          <w:szCs w:val="22"/>
        </w:rPr>
        <w:t>t corrected p-values (q-values)</w:t>
      </w:r>
      <w:r w:rsidR="00CB60D2" w:rsidRPr="005047A7">
        <w:rPr>
          <w:szCs w:val="22"/>
        </w:rPr>
        <w:t>&lt;0</w:t>
      </w:r>
      <w:r w:rsidR="002E2C68">
        <w:rPr>
          <w:szCs w:val="22"/>
        </w:rPr>
        <w:t>.05</w:t>
      </w:r>
      <w:r w:rsidR="00CB60D2" w:rsidRPr="005047A7">
        <w:rPr>
          <w:szCs w:val="22"/>
        </w:rPr>
        <w:t xml:space="preserve">. </w:t>
      </w:r>
      <w:r w:rsidR="00CB60D2">
        <w:rPr>
          <w:szCs w:val="22"/>
        </w:rPr>
        <w:t>We</w:t>
      </w:r>
      <w:r w:rsidR="00CB60D2" w:rsidRPr="005047A7">
        <w:rPr>
          <w:szCs w:val="22"/>
        </w:rPr>
        <w:t xml:space="preserve"> used X-tile cohort separation</w:t>
      </w:r>
      <w:r w:rsidR="0098788A" w:rsidRPr="005047A7">
        <w:rPr>
          <w:szCs w:val="22"/>
        </w:rPr>
        <w:fldChar w:fldCharType="begin"/>
      </w:r>
      <w:r w:rsidR="00A05ECB">
        <w:rPr>
          <w:szCs w:val="22"/>
        </w:rPr>
        <w:instrText xml:space="preserve"> ADDIN PAPERS2_CITATIONS &lt;citation&gt;&lt;uuid&gt;7719CCC8-ED01-4555-BCDC-AD85645AC18E&lt;/uuid&gt;&lt;priority&gt;7&lt;/priority&gt;&lt;publications&gt;&lt;publication&gt;&lt;uuid&gt;6075A762-AE7D-4FD1-95F4-6712836E78C7&lt;/uuid&gt;&lt;volume&gt;368&lt;/volume&gt;&lt;doi&gt;10.1056/NEJMoa1301689&lt;/doi&gt;&lt;startpage&gt;2059&lt;/startpage&gt;&lt;livfeID&gt;c8b88a79-392e-4791-825d-a686e8149821&lt;/livfeID&gt;&lt;publication_date&gt;99201305301200000000222000&lt;/publication_date&gt;&lt;url&gt;http://eutils.ncbi.nlm.nih.gov/entrez/eutils/elink.fcgi?dbfrom=pubmed&amp;amp;id=23634996&amp;amp;retmode=ref&amp;amp;cmd=prlinks&lt;/url&gt;&lt;type&gt;400&lt;/type&gt;&lt;title&gt;Genomic and epigenomic landscapes of adult de novo acute myeloid leukemia.&lt;/title&gt;&lt;location&gt;&amp;lt;html&amp;gt;&amp;lt;head&amp;gt;&amp;lt;meta http-equiv="content-type" content="text/html; charset=utf-8"/&amp;gt;&amp;lt;title&amp;gt;Sorry...&amp;lt;/title&amp;gt;&amp;lt;style&amp;gt; body { font-family: verdana, arial, sans-serif; background-color: #fff; color: #000; }&amp;lt;/style&amp;gt;&amp;lt;/head&amp;gt;&amp;lt;body&amp;gt;&amp;lt;div&amp;gt;&amp;lt;table&amp;gt;&amp;lt;tr&amp;gt;&amp;lt;td&amp;gt;&amp;lt;b&amp;gt;&amp;lt;font face=times color=#0039b6 size=10&amp;gt;G&amp;lt;/font&amp;gt;&amp;lt;font face=times color=#c41200 size=10&amp;gt;o&amp;lt;/font&amp;gt;&amp;lt;font face=times color=#f3c518 size=10&amp;gt;o&amp;lt;/font&amp;gt;&amp;lt;font face=times color=#0039b6 size=10&amp;gt;g&amp;lt;/font&amp;gt;&amp;lt;font face=times color=#30a72f size=10&amp;gt;l&amp;lt;/font&amp;gt;&amp;lt;font face=times color=#c41200 size=10&amp;gt;e&amp;lt;/font&amp;gt;&amp;lt;/b&amp;gt;&amp;lt;/td&amp;gt;&amp;lt;td style="text-align: left; vertical-align: bottom; padding-bottom: 15px; width: 50%"&amp;gt;&amp;lt;div style="border-bottom: 1px solid #dfdfdf;"&amp;gt;Sorry...&amp;lt;/div&amp;gt;&amp;lt;/td&amp;gt;&amp;lt;/tr&amp;gt;&amp;lt;/table&amp;gt;&amp;lt;/div&amp;gt;&amp;lt;div style="margin-left: 4em;"&amp;gt;&amp;lt;h1&amp;gt;We're sorry...&amp;lt;/h1&amp;gt;&amp;lt;p&amp;gt;... but your computer or network may be sending automated queries. To protect our users, we can't process your request right now.&amp;lt;/p&amp;gt;&amp;lt;/div&amp;gt;&amp;lt;div style="margin-left: 4em;"&amp;gt;See &amp;lt;a href="https://support.google.com/websearch/answer/86640"&amp;gt;Google Help&amp;lt;/a&amp;gt; for more information.&amp;lt;br/&amp;gt;&amp;lt;br/&amp;gt;&amp;lt;/div&amp;gt;&amp;lt;div style="text-align: center; border-top: 1px solid #dfdfdf;"&amp;gt;&amp;lt;a href="https://www.google.com"&amp;gt;Google Home&amp;lt;/a&amp;gt;&amp;lt;/div&amp;gt;&amp;lt;/body&amp;gt;&amp;lt;/html&amp;gt;&lt;/location&gt;&lt;institution&gt;The members of the Cancer Genome Atlas Research Network are listed in the Appendix.&lt;/institution&gt;&lt;number&gt;22&lt;/number&gt;&lt;subtype&gt;400&lt;/subtype&gt;&lt;endpage&gt;2074&lt;/endpage&gt;&lt;bundle&gt;&lt;publication&gt;&lt;title&gt;N Engl J Med&lt;/title&gt;&lt;type&gt;-100&lt;/type&gt;&lt;subtype&gt;-100&lt;/subtype&gt;&lt;uuid&gt;35A2BC61-7D1A-4108-AC33-B12FD7BA5F87&lt;/uuid&gt;&lt;/publication&gt;&lt;/bundle&gt;&lt;authors&gt;&lt;author&gt;&lt;lastName&gt;The Cancer Genome Atlas Research Network&lt;/lastName&gt;&lt;/author&gt;&lt;/authors&gt;&lt;/publication&gt;&lt;publication&gt;&lt;uuid&gt;BB3828E9-4C82-447F-8E1C-80AC46ED4E35&lt;/uuid&gt;&lt;volume&gt;10&lt;/volume&gt;&lt;doi&gt;10.1158/1078-0432.CCR-04-0713&lt;/doi&gt;&lt;startpage&gt;7252&lt;/startpage&gt;&lt;publication_date&gt;99200411011200000000222000&lt;/publication_date&gt;&lt;url&gt;http://eutils.ncbi.nlm.nih.gov/entrez/eutils/elink.fcgi?dbfrom=pubmed&amp;amp;id=15534099&amp;amp;retmode=ref&amp;amp;cmd=prlinks&lt;/url&gt;&lt;type&gt;400&lt;/type&gt;&lt;title&gt;X-tile: a new bio-informatics tool for biomarker assessment and outcome-based cut-point optimization.&lt;/title&gt;&lt;institution&gt;Department of Pathology, Yale University, School of Medicine, New Haven, Connecticut 06520, USA. robert.camp@yale.edu&lt;/institution&gt;&lt;number&gt;21&lt;/number&gt;&lt;subtype&gt;400&lt;/subtype&gt;&lt;endpage&gt;7259&lt;/endpage&gt;&lt;bundle&gt;&lt;publication&gt;&lt;title&gt;Clinical cancer research : an official journal of the American Association for Cancer Research&lt;/title&gt;&lt;type&gt;-100&lt;/type&gt;&lt;subtype&gt;-100&lt;/subtype&gt;&lt;uuid&gt;B1A057E6-0982-4439-86B8-789174EACD57&lt;/uuid&gt;&lt;/publication&gt;&lt;/bundle&gt;&lt;authors&gt;&lt;author&gt;&lt;firstName&gt;Robert&lt;/firstName&gt;&lt;middleNames&gt;L&lt;/middleNames&gt;&lt;lastName&gt;Camp&lt;/lastName&gt;&lt;/author&gt;&lt;author&gt;&lt;firstName&gt;Marisa&lt;/firstName&gt;&lt;lastName&gt;Dolled-Filhart&lt;/lastName&gt;&lt;/author&gt;&lt;author&gt;&lt;firstName&gt;David&lt;/firstName&gt;&lt;middleNames&gt;L&lt;/middleNames&gt;&lt;lastName&gt;Rimm&lt;/lastName&gt;&lt;/author&gt;&lt;/authors&gt;&lt;/publication&gt;&lt;/publications&gt;&lt;cites&gt;&lt;/cites&gt;&lt;/citation&gt;</w:instrText>
      </w:r>
      <w:r w:rsidR="0098788A" w:rsidRPr="005047A7">
        <w:rPr>
          <w:szCs w:val="22"/>
        </w:rPr>
        <w:fldChar w:fldCharType="separate"/>
      </w:r>
      <w:r w:rsidR="00747A0B">
        <w:rPr>
          <w:rFonts w:eastAsiaTheme="minorEastAsia" w:cs="Arial"/>
          <w:szCs w:val="22"/>
          <w:vertAlign w:val="superscript"/>
        </w:rPr>
        <w:t>3,4</w:t>
      </w:r>
      <w:r w:rsidR="0098788A" w:rsidRPr="005047A7">
        <w:rPr>
          <w:szCs w:val="22"/>
        </w:rPr>
        <w:fldChar w:fldCharType="end"/>
      </w:r>
      <w:r w:rsidR="00CB60D2" w:rsidRPr="005047A7">
        <w:rPr>
          <w:szCs w:val="22"/>
        </w:rPr>
        <w:t xml:space="preserve"> to categorize patients into </w:t>
      </w:r>
      <w:r w:rsidR="00F76AF2">
        <w:rPr>
          <w:szCs w:val="22"/>
        </w:rPr>
        <w:t xml:space="preserve">Low/High </w:t>
      </w:r>
      <w:r w:rsidR="00CB60D2">
        <w:rPr>
          <w:szCs w:val="22"/>
        </w:rPr>
        <w:t>expression groups</w:t>
      </w:r>
      <w:r w:rsidR="00F95A7B">
        <w:rPr>
          <w:szCs w:val="22"/>
        </w:rPr>
        <w:t xml:space="preserve"> based on </w:t>
      </w:r>
      <w:r w:rsidR="00BF6D64">
        <w:rPr>
          <w:szCs w:val="22"/>
        </w:rPr>
        <w:t>Event Free Survival (EFS)</w:t>
      </w:r>
      <w:r w:rsidR="00F95A7B">
        <w:rPr>
          <w:szCs w:val="22"/>
        </w:rPr>
        <w:t xml:space="preserve"> data</w:t>
      </w:r>
      <w:r w:rsidR="00CB60D2">
        <w:rPr>
          <w:szCs w:val="22"/>
        </w:rPr>
        <w:t xml:space="preserve">. A cut point was then determined by taking a mean of the </w:t>
      </w:r>
      <w:r w:rsidR="002E2C68">
        <w:rPr>
          <w:szCs w:val="22"/>
        </w:rPr>
        <w:t>maximum value in the low group</w:t>
      </w:r>
      <w:r w:rsidR="00CB60D2">
        <w:rPr>
          <w:szCs w:val="22"/>
        </w:rPr>
        <w:t xml:space="preserve"> and </w:t>
      </w:r>
      <w:r w:rsidR="002E2C68">
        <w:rPr>
          <w:szCs w:val="22"/>
        </w:rPr>
        <w:t>minimum value in the high group</w:t>
      </w:r>
      <w:r w:rsidR="00CB60D2">
        <w:rPr>
          <w:szCs w:val="22"/>
        </w:rPr>
        <w:t xml:space="preserve">. </w:t>
      </w:r>
      <w:r w:rsidR="00C70DBB">
        <w:rPr>
          <w:szCs w:val="22"/>
        </w:rPr>
        <w:t xml:space="preserve">This method for determining the cut-point was used as it resulted in the Kaplan-Meier separation with the lowest p-value. </w:t>
      </w:r>
      <w:r w:rsidR="00CB60D2">
        <w:rPr>
          <w:szCs w:val="22"/>
        </w:rPr>
        <w:t>The p-value</w:t>
      </w:r>
      <w:r w:rsidR="00465313">
        <w:rPr>
          <w:szCs w:val="22"/>
        </w:rPr>
        <w:t xml:space="preserve"> displayed on each Kaplan-Meier </w:t>
      </w:r>
      <w:r w:rsidR="00CB60D2">
        <w:rPr>
          <w:szCs w:val="22"/>
        </w:rPr>
        <w:t>plot is a log-rank p-value.</w:t>
      </w:r>
    </w:p>
    <w:p w14:paraId="4C60D66F" w14:textId="34EFEBF4" w:rsidR="00CB60D2" w:rsidRDefault="005C4C04" w:rsidP="00956FA0">
      <w:pPr>
        <w:ind w:firstLine="720"/>
        <w:rPr>
          <w:szCs w:val="22"/>
        </w:rPr>
      </w:pPr>
      <w:r>
        <w:rPr>
          <w:szCs w:val="22"/>
        </w:rPr>
        <w:t>For multivariate analyses, we performed Cox PH analysis using</w:t>
      </w:r>
      <w:r w:rsidR="00287C38">
        <w:rPr>
          <w:szCs w:val="22"/>
        </w:rPr>
        <w:t xml:space="preserve"> the following as input:</w:t>
      </w:r>
      <w:r>
        <w:rPr>
          <w:szCs w:val="22"/>
        </w:rPr>
        <w:t xml:space="preserve"> </w:t>
      </w:r>
      <w:r w:rsidR="00E701DC">
        <w:rPr>
          <w:szCs w:val="22"/>
        </w:rPr>
        <w:t xml:space="preserve">1) </w:t>
      </w:r>
      <w:r w:rsidR="00F76AF2">
        <w:rPr>
          <w:szCs w:val="22"/>
        </w:rPr>
        <w:t xml:space="preserve">Low/High </w:t>
      </w:r>
      <w:r>
        <w:rPr>
          <w:szCs w:val="22"/>
        </w:rPr>
        <w:t xml:space="preserve">expression groups, </w:t>
      </w:r>
      <w:r w:rsidR="00E701DC">
        <w:rPr>
          <w:szCs w:val="22"/>
        </w:rPr>
        <w:t xml:space="preserve">2) </w:t>
      </w:r>
      <w:r w:rsidR="00863E3E">
        <w:rPr>
          <w:szCs w:val="22"/>
        </w:rPr>
        <w:t>risk g</w:t>
      </w:r>
      <w:r>
        <w:rPr>
          <w:szCs w:val="22"/>
        </w:rPr>
        <w:t xml:space="preserve">roup status, </w:t>
      </w:r>
      <w:r w:rsidR="00E701DC">
        <w:rPr>
          <w:szCs w:val="22"/>
        </w:rPr>
        <w:t xml:space="preserve">3) </w:t>
      </w:r>
      <w:r>
        <w:rPr>
          <w:szCs w:val="22"/>
        </w:rPr>
        <w:t>white blood cell count status (&gt;100 or &lt;100).</w:t>
      </w:r>
      <w:r w:rsidR="009C7510">
        <w:rPr>
          <w:szCs w:val="22"/>
        </w:rPr>
        <w:t xml:space="preserve"> miRNAs </w:t>
      </w:r>
      <w:r w:rsidR="000C536C">
        <w:rPr>
          <w:szCs w:val="22"/>
        </w:rPr>
        <w:t>that</w:t>
      </w:r>
      <w:r w:rsidR="009C7510">
        <w:rPr>
          <w:szCs w:val="22"/>
        </w:rPr>
        <w:t xml:space="preserve"> were associated with survival independently of Risk Group </w:t>
      </w:r>
      <w:r w:rsidR="00765903">
        <w:rPr>
          <w:szCs w:val="22"/>
        </w:rPr>
        <w:t xml:space="preserve">assignments </w:t>
      </w:r>
      <w:r w:rsidR="00765903" w:rsidRPr="00BC25AE">
        <w:rPr>
          <w:szCs w:val="22"/>
        </w:rPr>
        <w:t>(Low Risk or High Ris</w:t>
      </w:r>
      <w:r w:rsidR="00765903">
        <w:rPr>
          <w:szCs w:val="22"/>
        </w:rPr>
        <w:t xml:space="preserve">k) </w:t>
      </w:r>
      <w:r w:rsidR="009C7510">
        <w:rPr>
          <w:szCs w:val="22"/>
        </w:rPr>
        <w:t>or white blood cell</w:t>
      </w:r>
      <w:r w:rsidR="006C4393">
        <w:rPr>
          <w:szCs w:val="22"/>
        </w:rPr>
        <w:t xml:space="preserve"> (WBC)</w:t>
      </w:r>
      <w:r w:rsidR="009C7510">
        <w:rPr>
          <w:szCs w:val="22"/>
        </w:rPr>
        <w:t xml:space="preserve"> count status were those with multivariate Cox PH p-values &lt;0.05</w:t>
      </w:r>
      <w:r w:rsidR="00700C58">
        <w:rPr>
          <w:szCs w:val="22"/>
        </w:rPr>
        <w:t>.</w:t>
      </w:r>
      <w:r w:rsidR="00820C6E">
        <w:rPr>
          <w:szCs w:val="22"/>
        </w:rPr>
        <w:t xml:space="preserve"> </w:t>
      </w:r>
      <w:r w:rsidR="00107E37">
        <w:rPr>
          <w:szCs w:val="22"/>
        </w:rPr>
        <w:t>Only patients with no missing cytogenetic risk group and WBC info</w:t>
      </w:r>
      <w:r w:rsidR="000C536C">
        <w:rPr>
          <w:szCs w:val="22"/>
        </w:rPr>
        <w:t>rmation were included for multi</w:t>
      </w:r>
      <w:r w:rsidR="00107E37">
        <w:rPr>
          <w:szCs w:val="22"/>
        </w:rPr>
        <w:t>variate analyses.</w:t>
      </w:r>
    </w:p>
    <w:p w14:paraId="41EEF3F9" w14:textId="666EF83C" w:rsidR="00C46430" w:rsidRPr="002E2E8D" w:rsidRDefault="00C46430" w:rsidP="00C46430">
      <w:pPr>
        <w:pStyle w:val="Heading2"/>
      </w:pPr>
      <w:bookmarkStart w:id="27" w:name="_Toc352927147"/>
      <w:r>
        <w:t xml:space="preserve">Development of the miRNA-based EFS </w:t>
      </w:r>
      <w:r w:rsidR="00391323">
        <w:t>p</w:t>
      </w:r>
      <w:r w:rsidR="0094155B">
        <w:t>redictive</w:t>
      </w:r>
      <w:r w:rsidR="00391323">
        <w:t xml:space="preserve"> m</w:t>
      </w:r>
      <w:r>
        <w:t>odel</w:t>
      </w:r>
      <w:bookmarkEnd w:id="27"/>
    </w:p>
    <w:p w14:paraId="17FD1C4D" w14:textId="21C4332C" w:rsidR="00365F8B" w:rsidRDefault="00BC25AE" w:rsidP="0018721B">
      <w:pPr>
        <w:ind w:firstLine="720"/>
        <w:rPr>
          <w:szCs w:val="22"/>
        </w:rPr>
      </w:pPr>
      <w:r w:rsidRPr="00BC25AE">
        <w:rPr>
          <w:szCs w:val="22"/>
        </w:rPr>
        <w:t xml:space="preserve">The miRNA-based EFS predictive model was derived based on the data from the </w:t>
      </w:r>
      <w:r w:rsidR="00177B74">
        <w:rPr>
          <w:szCs w:val="22"/>
        </w:rPr>
        <w:t>Discovery (T</w:t>
      </w:r>
      <w:r w:rsidRPr="00BC25AE">
        <w:rPr>
          <w:szCs w:val="22"/>
        </w:rPr>
        <w:t>raining</w:t>
      </w:r>
      <w:r w:rsidR="00177B74">
        <w:rPr>
          <w:szCs w:val="22"/>
        </w:rPr>
        <w:t>) C</w:t>
      </w:r>
      <w:r w:rsidRPr="00BC25AE">
        <w:rPr>
          <w:szCs w:val="22"/>
        </w:rPr>
        <w:t>ohort</w:t>
      </w:r>
      <w:r w:rsidR="00786860">
        <w:rPr>
          <w:szCs w:val="22"/>
        </w:rPr>
        <w:t xml:space="preserve"> (n=425)</w:t>
      </w:r>
      <w:r w:rsidRPr="00BC25AE">
        <w:rPr>
          <w:szCs w:val="22"/>
        </w:rPr>
        <w:t>, and then applied to</w:t>
      </w:r>
      <w:r w:rsidR="00177B74">
        <w:rPr>
          <w:szCs w:val="22"/>
        </w:rPr>
        <w:t xml:space="preserve"> 2 independent validation cohort</w:t>
      </w:r>
      <w:r w:rsidR="00365F8B">
        <w:rPr>
          <w:szCs w:val="22"/>
        </w:rPr>
        <w:t>s</w:t>
      </w:r>
      <w:r w:rsidR="00177B74">
        <w:rPr>
          <w:szCs w:val="22"/>
        </w:rPr>
        <w:t>: #1) the Discovery (Test) Cohort</w:t>
      </w:r>
      <w:r w:rsidR="00786860">
        <w:rPr>
          <w:szCs w:val="22"/>
        </w:rPr>
        <w:t xml:space="preserve"> (n=212)</w:t>
      </w:r>
      <w:r w:rsidR="00177B74">
        <w:rPr>
          <w:szCs w:val="22"/>
        </w:rPr>
        <w:t xml:space="preserve"> and #2) the AAML1031 Validation Cohort (n=666)</w:t>
      </w:r>
      <w:r w:rsidR="00365F8B">
        <w:rPr>
          <w:szCs w:val="22"/>
        </w:rPr>
        <w:t>.</w:t>
      </w:r>
      <w:r w:rsidR="00BB7974">
        <w:rPr>
          <w:szCs w:val="22"/>
        </w:rPr>
        <w:t xml:space="preserve"> (Table 1)</w:t>
      </w:r>
    </w:p>
    <w:p w14:paraId="0524DAB0" w14:textId="0599EADD" w:rsidR="00A94937" w:rsidRDefault="00BC25AE" w:rsidP="0018721B">
      <w:pPr>
        <w:ind w:firstLine="720"/>
        <w:rPr>
          <w:szCs w:val="22"/>
        </w:rPr>
      </w:pPr>
      <w:r w:rsidRPr="00BC25AE">
        <w:rPr>
          <w:szCs w:val="22"/>
        </w:rPr>
        <w:t>miRNA expression (log</w:t>
      </w:r>
      <w:r w:rsidRPr="00BC25AE">
        <w:rPr>
          <w:szCs w:val="22"/>
          <w:vertAlign w:val="subscript"/>
        </w:rPr>
        <w:t>2</w:t>
      </w:r>
      <w:r w:rsidR="00972797">
        <w:rPr>
          <w:szCs w:val="22"/>
        </w:rPr>
        <w:t xml:space="preserve"> RPM) values </w:t>
      </w:r>
      <w:r>
        <w:rPr>
          <w:szCs w:val="22"/>
        </w:rPr>
        <w:t>were used as input features.</w:t>
      </w:r>
      <w:r w:rsidR="00EB3F01">
        <w:rPr>
          <w:szCs w:val="22"/>
        </w:rPr>
        <w:t xml:space="preserve"> </w:t>
      </w:r>
      <w:r w:rsidRPr="00BC25AE">
        <w:rPr>
          <w:szCs w:val="22"/>
        </w:rPr>
        <w:t>The glmnet</w:t>
      </w:r>
      <w:r w:rsidR="00EB3F01">
        <w:rPr>
          <w:szCs w:val="22"/>
        </w:rPr>
        <w:t xml:space="preserve"> (R package)</w:t>
      </w:r>
      <w:r w:rsidRPr="00BC25AE">
        <w:rPr>
          <w:szCs w:val="22"/>
        </w:rPr>
        <w:t xml:space="preserve"> lasso Cox regression algorithm returned a model score for each patient in the training cohort and </w:t>
      </w:r>
      <w:r w:rsidR="0018721B">
        <w:rPr>
          <w:szCs w:val="22"/>
        </w:rPr>
        <w:t xml:space="preserve">non-zero </w:t>
      </w:r>
      <w:r w:rsidRPr="00BC25AE">
        <w:rPr>
          <w:szCs w:val="22"/>
        </w:rPr>
        <w:t>regression coefficients for each significant miRNA feature.</w:t>
      </w:r>
      <w:r w:rsidR="00280B2B">
        <w:rPr>
          <w:szCs w:val="22"/>
        </w:rPr>
        <w:t xml:space="preserve"> Glmnet returned 36 miRNAs with non-zero coefficients, and these miRNA feature coeffi</w:t>
      </w:r>
      <w:r w:rsidR="00D00919">
        <w:rPr>
          <w:szCs w:val="22"/>
        </w:rPr>
        <w:t>ci</w:t>
      </w:r>
      <w:r w:rsidR="00280B2B">
        <w:rPr>
          <w:szCs w:val="22"/>
        </w:rPr>
        <w:t>ents</w:t>
      </w:r>
      <w:r w:rsidR="00A94937">
        <w:rPr>
          <w:szCs w:val="22"/>
        </w:rPr>
        <w:t xml:space="preserve"> were retained in our model.</w:t>
      </w:r>
    </w:p>
    <w:p w14:paraId="541692EC" w14:textId="718F23AE" w:rsidR="00BC25AE" w:rsidRDefault="00280B2B" w:rsidP="0018721B">
      <w:pPr>
        <w:ind w:firstLine="720"/>
        <w:rPr>
          <w:rFonts w:ascii="Helvetica" w:hAnsi="Helvetica" w:cs="Helvetica"/>
          <w:color w:val="000000" w:themeColor="text1"/>
        </w:rPr>
      </w:pPr>
      <w:r>
        <w:rPr>
          <w:szCs w:val="22"/>
        </w:rPr>
        <w:t xml:space="preserve">Model scores for each patient are calculated </w:t>
      </w:r>
      <w:r>
        <w:rPr>
          <w:rFonts w:ascii="Helvetica" w:hAnsi="Helvetica" w:cs="Helvetica"/>
          <w:color w:val="000000" w:themeColor="text1"/>
        </w:rPr>
        <w:t>by multiplying each of the 36 miRNA feature coefficients by its corresponding log</w:t>
      </w:r>
      <w:r w:rsidRPr="00B43C9B">
        <w:rPr>
          <w:rFonts w:ascii="Helvetica" w:hAnsi="Helvetica" w:cs="Helvetica"/>
          <w:color w:val="000000" w:themeColor="text1"/>
          <w:vertAlign w:val="subscript"/>
        </w:rPr>
        <w:t>2</w:t>
      </w:r>
      <w:r>
        <w:rPr>
          <w:rFonts w:ascii="Helvetica" w:hAnsi="Helvetica" w:cs="Helvetica"/>
          <w:color w:val="000000" w:themeColor="text1"/>
        </w:rPr>
        <w:t xml:space="preserve"> RPM expression value, and then taking the sum of each of these products</w:t>
      </w:r>
      <w:r w:rsidR="00A94937">
        <w:rPr>
          <w:rFonts w:ascii="Helvetica" w:hAnsi="Helvetica" w:cs="Helvetica"/>
          <w:color w:val="000000" w:themeColor="text1"/>
        </w:rPr>
        <w:t>:</w:t>
      </w:r>
    </w:p>
    <w:p w14:paraId="1BE9F995" w14:textId="658FD665" w:rsidR="00A94937" w:rsidRDefault="00374376" w:rsidP="00A94937">
      <w:pPr>
        <w:pStyle w:val="NoSpacing"/>
      </w:pPr>
      <w:r>
        <w:t xml:space="preserve">Patient Model Score = </w:t>
      </w:r>
      <w:r w:rsidR="00A94937">
        <w:t xml:space="preserve">-0.071435852*[hsa-miR-409-5p </w:t>
      </w:r>
      <w:r w:rsidR="00A94937">
        <w:rPr>
          <w:rFonts w:ascii="Helvetica" w:hAnsi="Helvetica" w:cs="Helvetica"/>
          <w:color w:val="000000" w:themeColor="text1"/>
        </w:rPr>
        <w:t>log</w:t>
      </w:r>
      <w:r w:rsidR="00A94937" w:rsidRPr="00B43C9B">
        <w:rPr>
          <w:rFonts w:ascii="Helvetica" w:hAnsi="Helvetica" w:cs="Helvetica"/>
          <w:color w:val="000000" w:themeColor="text1"/>
          <w:vertAlign w:val="subscript"/>
        </w:rPr>
        <w:t>2</w:t>
      </w:r>
      <w:r w:rsidR="00A94937">
        <w:t>RPM] +</w:t>
      </w:r>
    </w:p>
    <w:p w14:paraId="7A188D89" w14:textId="195390AE" w:rsidR="00A94937" w:rsidRDefault="00A94937" w:rsidP="00A94937">
      <w:pPr>
        <w:pStyle w:val="NoSpacing"/>
      </w:pPr>
      <w:r>
        <w:lastRenderedPageBreak/>
        <w:t xml:space="preserve">-0.063621683*[hsa-miR-139-5p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AFABAC1" w14:textId="40B7CB24" w:rsidR="00A94937" w:rsidRDefault="00A94937" w:rsidP="00A94937">
      <w:pPr>
        <w:pStyle w:val="NoSpacing"/>
      </w:pPr>
      <w:r>
        <w:t xml:space="preserve">-0.062530666*[hsa-let-7g-5p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FDB4CDD" w14:textId="1A718638" w:rsidR="00A94937" w:rsidRDefault="00A94937" w:rsidP="00A94937">
      <w:pPr>
        <w:pStyle w:val="NoSpacing"/>
      </w:pPr>
      <w:r>
        <w:t xml:space="preserve">-0.062192126*[hsa-miR-375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3B209074" w14:textId="2499E98F" w:rsidR="00A94937" w:rsidRDefault="00A94937" w:rsidP="00A94937">
      <w:pPr>
        <w:pStyle w:val="NoSpacing"/>
      </w:pPr>
      <w:r>
        <w:t xml:space="preserve">-0.059026016*[hsa-miR-2110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B5287A2" w14:textId="41C0D629" w:rsidR="00A94937" w:rsidRDefault="00A94937" w:rsidP="00A94937">
      <w:pPr>
        <w:pStyle w:val="NoSpacing"/>
      </w:pPr>
      <w:r>
        <w:t xml:space="preserve">-0.050372946*[hsa-miR-146a-5p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82A355B" w14:textId="68AB26AD" w:rsidR="00A94937" w:rsidRDefault="00A94937" w:rsidP="00A94937">
      <w:pPr>
        <w:pStyle w:val="NoSpacing"/>
      </w:pPr>
      <w:r>
        <w:t xml:space="preserve">-0.048514515*[hsa-miR-202-5p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64DC64A" w14:textId="21DE3E43" w:rsidR="00A94937" w:rsidRDefault="00A94937" w:rsidP="00A94937">
      <w:pPr>
        <w:pStyle w:val="NoSpacing"/>
      </w:pPr>
      <w:r>
        <w:t xml:space="preserve">-0.047275703*[hsa-miR-1180-3p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0BCE3BE" w14:textId="3FD2B9D2" w:rsidR="00A94937" w:rsidRDefault="00A94937" w:rsidP="00A94937">
      <w:pPr>
        <w:pStyle w:val="NoSpacing"/>
      </w:pPr>
      <w:r>
        <w:t xml:space="preserve">-0.04528897*[hsa-miR-335-3p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7979C836" w14:textId="4659B7E6" w:rsidR="00A94937" w:rsidRDefault="00A94937" w:rsidP="00A94937">
      <w:pPr>
        <w:pStyle w:val="NoSpacing"/>
      </w:pPr>
      <w:r>
        <w:t xml:space="preserve">-0.040989372*[hsa-miR-181c-3p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002B7CD" w14:textId="0356CAF0" w:rsidR="00A94937" w:rsidRDefault="00A94937" w:rsidP="00A94937">
      <w:pPr>
        <w:pStyle w:val="NoSpacing"/>
      </w:pPr>
      <w:r>
        <w:t xml:space="preserve">-0.040306357*[hsa-miR-217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3521ACD" w14:textId="107B1001" w:rsidR="00A94937" w:rsidRDefault="00A94937" w:rsidP="00A94937">
      <w:pPr>
        <w:pStyle w:val="NoSpacing"/>
      </w:pPr>
      <w:r>
        <w:t xml:space="preserve">-0.037325674*[hsa-miR-539-5p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FDAF074" w14:textId="126F0F6D" w:rsidR="00A94937" w:rsidRDefault="00A94937" w:rsidP="00A94937">
      <w:pPr>
        <w:pStyle w:val="NoSpacing"/>
      </w:pPr>
      <w:r>
        <w:t xml:space="preserve">-0.032959784*[hsa-miR-664b-5p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D478502" w14:textId="6F3CF3C8" w:rsidR="00A94937" w:rsidRDefault="00A94937" w:rsidP="00A94937">
      <w:pPr>
        <w:pStyle w:val="NoSpacing"/>
      </w:pPr>
      <w:r>
        <w:t xml:space="preserve">-0.02419678*[hsa-miR-1287-3p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BC662A9" w14:textId="7E62C6A9" w:rsidR="00A94937" w:rsidRDefault="00A94937" w:rsidP="00A94937">
      <w:pPr>
        <w:pStyle w:val="NoSpacing"/>
      </w:pPr>
      <w:r>
        <w:t xml:space="preserve">-0.019307849*[hsa-miR-4662a-5p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4C3CB6D" w14:textId="0BDAE85D" w:rsidR="00A94937" w:rsidRDefault="00A94937" w:rsidP="00A94937">
      <w:pPr>
        <w:pStyle w:val="NoSpacing"/>
      </w:pPr>
      <w:r>
        <w:t xml:space="preserve">-0.018062943*[hsa-miR-148b-3p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660133A" w14:textId="6A666ECC" w:rsidR="00A94937" w:rsidRDefault="00A94937" w:rsidP="00A94937">
      <w:pPr>
        <w:pStyle w:val="NoSpacing"/>
      </w:pPr>
      <w:r>
        <w:t xml:space="preserve">-0.011324553*[hsa-miR-181c-5p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ECE70DC" w14:textId="29EB3CE3" w:rsidR="00A94937" w:rsidRDefault="00A94937" w:rsidP="00A94937">
      <w:pPr>
        <w:pStyle w:val="NoSpacing"/>
      </w:pPr>
      <w:r>
        <w:t xml:space="preserve">-0.003799344*[hsa-miR-340-3p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00CC8B22" w14:textId="4739D938" w:rsidR="00A94937" w:rsidRDefault="00A94937" w:rsidP="00A94937">
      <w:pPr>
        <w:pStyle w:val="NoSpacing"/>
      </w:pPr>
      <w:r>
        <w:t xml:space="preserve">-0.002882947*[hsa-miR-132-3p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2023759" w14:textId="1F5B1DDF" w:rsidR="00A94937" w:rsidRDefault="00A94937" w:rsidP="00A94937">
      <w:pPr>
        <w:pStyle w:val="NoSpacing"/>
      </w:pPr>
      <w:r>
        <w:t xml:space="preserve">-0.001863252*[hsa-miR-100-5p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A121A50" w14:textId="5D3B0A8F" w:rsidR="00A94937" w:rsidRDefault="00A94937" w:rsidP="00A94937">
      <w:pPr>
        <w:pStyle w:val="NoSpacing"/>
      </w:pPr>
      <w:r>
        <w:t xml:space="preserve">0.005215312*[hsa-miR-362-3p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3885138" w14:textId="4DE8706A" w:rsidR="00A94937" w:rsidRDefault="00A94937" w:rsidP="00A94937">
      <w:pPr>
        <w:pStyle w:val="NoSpacing"/>
      </w:pPr>
      <w:r>
        <w:t xml:space="preserve">0.006792342*[hsa-miR-363-3p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2FA0A93C" w14:textId="1079CECC" w:rsidR="00A94937" w:rsidRDefault="00A94937" w:rsidP="00A94937">
      <w:pPr>
        <w:pStyle w:val="NoSpacing"/>
      </w:pPr>
      <w:r>
        <w:t xml:space="preserve">0.010667128*[hsa-miR-181b-3p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1893F1C" w14:textId="76F44297" w:rsidR="00A94937" w:rsidRDefault="00A94937" w:rsidP="00A94937">
      <w:pPr>
        <w:pStyle w:val="NoSpacing"/>
      </w:pPr>
      <w:r>
        <w:t xml:space="preserve">0.013641305*[hsa-miR-502-3p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946E69E" w14:textId="36FB7C22" w:rsidR="00A94937" w:rsidRDefault="00A94937" w:rsidP="00A94937">
      <w:pPr>
        <w:pStyle w:val="NoSpacing"/>
      </w:pPr>
      <w:r>
        <w:t xml:space="preserve">0.013849354*[hsa-miR-935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00A263F" w14:textId="77777777" w:rsidR="00A94937" w:rsidRDefault="00A94937" w:rsidP="00A94937">
      <w:pPr>
        <w:pStyle w:val="NoSpacing"/>
      </w:pPr>
      <w:r>
        <w:t>0.015230088*[hsa-miR-296-5p log2 RPM] +</w:t>
      </w:r>
    </w:p>
    <w:p w14:paraId="606A1979" w14:textId="70EAB8FC" w:rsidR="00A94937" w:rsidRDefault="00A94937" w:rsidP="00A94937">
      <w:pPr>
        <w:pStyle w:val="NoSpacing"/>
      </w:pPr>
      <w:r>
        <w:t xml:space="preserve">0.015253859*[hsa-miR-450a-5p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16027F2" w14:textId="3CA3E978" w:rsidR="00A94937" w:rsidRDefault="00A94937" w:rsidP="00A94937">
      <w:pPr>
        <w:pStyle w:val="NoSpacing"/>
      </w:pPr>
      <w:r>
        <w:t xml:space="preserve">0.017215965*[hsa-miR-30e-3p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40E96BD2" w14:textId="003B3F46" w:rsidR="00A94937" w:rsidRDefault="00A94937" w:rsidP="00A94937">
      <w:pPr>
        <w:pStyle w:val="NoSpacing"/>
      </w:pPr>
      <w:r>
        <w:t xml:space="preserve">0.018074572*[hsa-miR-30c-2-3p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55DA2942" w14:textId="5319620E" w:rsidR="00A94937" w:rsidRDefault="00A94937" w:rsidP="00A94937">
      <w:pPr>
        <w:pStyle w:val="NoSpacing"/>
      </w:pPr>
      <w:r>
        <w:t xml:space="preserve">0.027657901*[hsa-miR-34c-5p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2D6DBE3E" w14:textId="41EEF07A" w:rsidR="00A94937" w:rsidRDefault="00A94937" w:rsidP="00A94937">
      <w:pPr>
        <w:pStyle w:val="NoSpacing"/>
      </w:pPr>
      <w:r>
        <w:t xml:space="preserve">0.03910599*[hsa-miR-320a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66280E43" w14:textId="382620E0" w:rsidR="00A94937" w:rsidRDefault="00A94937" w:rsidP="00A94937">
      <w:pPr>
        <w:pStyle w:val="NoSpacing"/>
      </w:pPr>
      <w:r>
        <w:t xml:space="preserve">0.042520575*[hsa-miR-130b-3p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29B813F5" w14:textId="7BECDCEE" w:rsidR="00A94937" w:rsidRDefault="00A94937" w:rsidP="00A94937">
      <w:pPr>
        <w:pStyle w:val="NoSpacing"/>
      </w:pPr>
      <w:r>
        <w:t xml:space="preserve">0.06433791*[hsa-miR-155-5p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5E25BE6" w14:textId="0604579B" w:rsidR="00A94937" w:rsidRDefault="00A94937" w:rsidP="00A94937">
      <w:pPr>
        <w:pStyle w:val="NoSpacing"/>
      </w:pPr>
      <w:r>
        <w:t xml:space="preserve">0.070234817*[hsa-miR-1247-3p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27EC3B62" w14:textId="25735CE3" w:rsidR="00A94937" w:rsidRDefault="00A94937" w:rsidP="00A94937">
      <w:pPr>
        <w:pStyle w:val="NoSpacing"/>
      </w:pPr>
      <w:r>
        <w:t xml:space="preserve">0.155286578*[hsa-miR-584-5p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 +</w:t>
      </w:r>
    </w:p>
    <w:p w14:paraId="1161D759" w14:textId="25F72AFE" w:rsidR="00A94937" w:rsidRPr="00BC25AE" w:rsidRDefault="00A94937" w:rsidP="00A94937">
      <w:pPr>
        <w:pStyle w:val="NoSpacing"/>
        <w:rPr>
          <w:szCs w:val="22"/>
        </w:rPr>
      </w:pPr>
      <w:r>
        <w:t xml:space="preserve">0.244530267*[hsa-miR-106a-3p </w:t>
      </w:r>
      <w:r>
        <w:rPr>
          <w:rFonts w:ascii="Helvetica" w:hAnsi="Helvetica" w:cs="Helvetica"/>
          <w:color w:val="000000" w:themeColor="text1"/>
        </w:rPr>
        <w:t>log</w:t>
      </w:r>
      <w:r w:rsidRPr="00B43C9B">
        <w:rPr>
          <w:rFonts w:ascii="Helvetica" w:hAnsi="Helvetica" w:cs="Helvetica"/>
          <w:color w:val="000000" w:themeColor="text1"/>
          <w:vertAlign w:val="subscript"/>
        </w:rPr>
        <w:t>2</w:t>
      </w:r>
      <w:r>
        <w:t>RPM]</w:t>
      </w:r>
    </w:p>
    <w:p w14:paraId="4020B5E5" w14:textId="0E5F5F65" w:rsidR="00C46430" w:rsidRDefault="0018721B" w:rsidP="00BC25AE">
      <w:pPr>
        <w:ind w:firstLine="720"/>
        <w:rPr>
          <w:szCs w:val="22"/>
        </w:rPr>
      </w:pPr>
      <w:r>
        <w:rPr>
          <w:szCs w:val="22"/>
        </w:rPr>
        <w:t>O</w:t>
      </w:r>
      <w:r w:rsidR="00BC25AE" w:rsidRPr="00BC25AE">
        <w:rPr>
          <w:szCs w:val="22"/>
        </w:rPr>
        <w:t>ptimal model score cut-point</w:t>
      </w:r>
      <w:r>
        <w:rPr>
          <w:szCs w:val="22"/>
        </w:rPr>
        <w:t>s</w:t>
      </w:r>
      <w:r w:rsidR="00BC25AE" w:rsidRPr="00BC25AE">
        <w:rPr>
          <w:szCs w:val="22"/>
        </w:rPr>
        <w:t xml:space="preserve"> for assigning patients into high</w:t>
      </w:r>
      <w:r>
        <w:rPr>
          <w:szCs w:val="22"/>
        </w:rPr>
        <w:t>, intermediate</w:t>
      </w:r>
      <w:r w:rsidR="00C5072D">
        <w:rPr>
          <w:szCs w:val="22"/>
        </w:rPr>
        <w:t xml:space="preserve"> and </w:t>
      </w:r>
      <w:r w:rsidR="00BC25AE" w:rsidRPr="00BC25AE">
        <w:rPr>
          <w:szCs w:val="22"/>
        </w:rPr>
        <w:t xml:space="preserve">low model score groups </w:t>
      </w:r>
      <w:r w:rsidR="00553B6C">
        <w:rPr>
          <w:szCs w:val="22"/>
        </w:rPr>
        <w:t>were</w:t>
      </w:r>
      <w:r w:rsidR="00BC25AE" w:rsidRPr="00BC25AE">
        <w:rPr>
          <w:szCs w:val="22"/>
        </w:rPr>
        <w:t xml:space="preserve"> dete</w:t>
      </w:r>
      <w:r>
        <w:rPr>
          <w:szCs w:val="22"/>
        </w:rPr>
        <w:t xml:space="preserve">rmined in the </w:t>
      </w:r>
      <w:r w:rsidR="004A52BD">
        <w:rPr>
          <w:szCs w:val="22"/>
        </w:rPr>
        <w:t>Discovery (t</w:t>
      </w:r>
      <w:r w:rsidR="00365F8B">
        <w:rPr>
          <w:szCs w:val="22"/>
        </w:rPr>
        <w:t>raining) C</w:t>
      </w:r>
      <w:r w:rsidR="00EF4A7C">
        <w:rPr>
          <w:szCs w:val="22"/>
        </w:rPr>
        <w:t>ohort</w:t>
      </w:r>
      <w:r w:rsidR="00BC25AE" w:rsidRPr="00BC25AE">
        <w:rPr>
          <w:szCs w:val="22"/>
        </w:rPr>
        <w:t>. This was accomplished by identifying the cut-point</w:t>
      </w:r>
      <w:r w:rsidR="00EF4A7C">
        <w:rPr>
          <w:szCs w:val="22"/>
        </w:rPr>
        <w:t>s</w:t>
      </w:r>
      <w:r w:rsidR="00BC25AE" w:rsidRPr="00BC25AE">
        <w:rPr>
          <w:szCs w:val="22"/>
        </w:rPr>
        <w:t xml:space="preserve"> that resulted in the greatest</w:t>
      </w:r>
      <w:r w:rsidR="000C536C">
        <w:rPr>
          <w:szCs w:val="22"/>
        </w:rPr>
        <w:t xml:space="preserve"> difference in Kaplan-Meier 5-Year</w:t>
      </w:r>
      <w:r w:rsidR="00BC25AE" w:rsidRPr="00BC25AE">
        <w:rPr>
          <w:szCs w:val="22"/>
        </w:rPr>
        <w:t xml:space="preserve"> </w:t>
      </w:r>
      <w:r w:rsidR="00EF4A7C">
        <w:rPr>
          <w:szCs w:val="22"/>
        </w:rPr>
        <w:t xml:space="preserve">EFS estimates between high, intermediate </w:t>
      </w:r>
      <w:r w:rsidR="00BC25AE" w:rsidRPr="00BC25AE">
        <w:rPr>
          <w:szCs w:val="22"/>
        </w:rPr>
        <w:t xml:space="preserve">and low model score groups. </w:t>
      </w:r>
      <w:r w:rsidR="00CD340F">
        <w:rPr>
          <w:szCs w:val="22"/>
        </w:rPr>
        <w:t xml:space="preserve">The cut-point to separate the high-risk patients was determined before the cut-point to separate the low risk patients. </w:t>
      </w:r>
      <w:r w:rsidR="00E71EF4">
        <w:rPr>
          <w:szCs w:val="22"/>
        </w:rPr>
        <w:t>These</w:t>
      </w:r>
      <w:r w:rsidR="00BC25AE" w:rsidRPr="00BC25AE">
        <w:rPr>
          <w:szCs w:val="22"/>
        </w:rPr>
        <w:t xml:space="preserve"> optimal cut-point</w:t>
      </w:r>
      <w:r w:rsidR="00E71EF4">
        <w:rPr>
          <w:szCs w:val="22"/>
        </w:rPr>
        <w:t>s</w:t>
      </w:r>
      <w:r w:rsidR="00BC25AE" w:rsidRPr="00BC25AE">
        <w:rPr>
          <w:szCs w:val="22"/>
        </w:rPr>
        <w:t xml:space="preserve"> </w:t>
      </w:r>
      <w:r w:rsidR="00E71EF4">
        <w:rPr>
          <w:szCs w:val="22"/>
        </w:rPr>
        <w:t>were</w:t>
      </w:r>
      <w:r w:rsidR="00BC25AE" w:rsidRPr="00BC25AE">
        <w:rPr>
          <w:szCs w:val="22"/>
        </w:rPr>
        <w:t xml:space="preserve"> then </w:t>
      </w:r>
      <w:r w:rsidR="00C5072D">
        <w:rPr>
          <w:szCs w:val="22"/>
        </w:rPr>
        <w:t xml:space="preserve">carried over </w:t>
      </w:r>
      <w:r w:rsidR="00365F8B">
        <w:rPr>
          <w:szCs w:val="22"/>
        </w:rPr>
        <w:t xml:space="preserve">and applied </w:t>
      </w:r>
      <w:r w:rsidR="00C5072D">
        <w:rPr>
          <w:szCs w:val="22"/>
        </w:rPr>
        <w:t>to the</w:t>
      </w:r>
      <w:r w:rsidR="00365F8B">
        <w:rPr>
          <w:szCs w:val="22"/>
        </w:rPr>
        <w:t xml:space="preserve"> 2 validation cohorts</w:t>
      </w:r>
      <w:r w:rsidR="00C5072D">
        <w:rPr>
          <w:szCs w:val="22"/>
        </w:rPr>
        <w:t>.</w:t>
      </w:r>
      <w:r w:rsidR="00553B6C">
        <w:rPr>
          <w:szCs w:val="22"/>
        </w:rPr>
        <w:t xml:space="preserve"> </w:t>
      </w:r>
    </w:p>
    <w:p w14:paraId="4F5720DA" w14:textId="608500E1" w:rsidR="00DE1D84" w:rsidRPr="00B33249" w:rsidRDefault="00205E47" w:rsidP="00B33249">
      <w:pPr>
        <w:ind w:firstLine="720"/>
      </w:pPr>
      <w:r>
        <w:lastRenderedPageBreak/>
        <w:t>To determine whether the predictor’s prognostic ability was independent of established prognos</w:t>
      </w:r>
      <w:r w:rsidR="00BE7CBE">
        <w:t>tic factors at diagnosis, multi</w:t>
      </w:r>
      <w:r w:rsidR="00E646F1">
        <w:t xml:space="preserve">variate Cox PH </w:t>
      </w:r>
      <w:r>
        <w:t xml:space="preserve">analysis was performed on model scores, risk group </w:t>
      </w:r>
      <w:r w:rsidR="008B6A50">
        <w:t xml:space="preserve">assignments </w:t>
      </w:r>
      <w:r>
        <w:t xml:space="preserve">and white blood cell </w:t>
      </w:r>
      <w:r w:rsidR="008B6A50">
        <w:t>(WBC)</w:t>
      </w:r>
      <w:r w:rsidR="00D04D2C">
        <w:t xml:space="preserve"> </w:t>
      </w:r>
      <w:r w:rsidR="00D74F2A">
        <w:t>count status.</w:t>
      </w:r>
      <w:r w:rsidR="00DE1D84">
        <w:br w:type="page"/>
      </w:r>
    </w:p>
    <w:p w14:paraId="5C941D77" w14:textId="77777777" w:rsidR="00417022" w:rsidRDefault="00417022" w:rsidP="00417022">
      <w:pPr>
        <w:pStyle w:val="Heading1"/>
      </w:pPr>
      <w:bookmarkStart w:id="28" w:name="_Toc352927148"/>
      <w:r>
        <w:lastRenderedPageBreak/>
        <w:t>Supplementary Figures</w:t>
      </w:r>
      <w:bookmarkEnd w:id="28"/>
    </w:p>
    <w:p w14:paraId="02115436" w14:textId="1AA2CEB8" w:rsidR="00315D35" w:rsidRPr="005979BC" w:rsidRDefault="00315D35" w:rsidP="00315D35">
      <w:pPr>
        <w:pStyle w:val="Heading3"/>
        <w:rPr>
          <w:color w:val="000000" w:themeColor="text1"/>
        </w:rPr>
      </w:pPr>
      <w:bookmarkStart w:id="29" w:name="_Toc352927149"/>
      <w:bookmarkStart w:id="30" w:name="_Ref302283052"/>
      <w:bookmarkStart w:id="31" w:name="_Ref310762629"/>
      <w:bookmarkStart w:id="32" w:name="_Toc305962960"/>
      <w:bookmarkStart w:id="33" w:name="_Toc307564514"/>
      <w:r w:rsidRPr="005979BC">
        <w:rPr>
          <w:color w:val="000000" w:themeColor="text1"/>
        </w:rPr>
        <w:t>Supplementary</w:t>
      </w:r>
      <w:r>
        <w:rPr>
          <w:color w:val="000000" w:themeColor="text1"/>
        </w:rPr>
        <w:t xml:space="preserve"> Figure S1 – </w:t>
      </w:r>
      <w:r w:rsidRPr="00315D35">
        <w:rPr>
          <w:color w:val="000000" w:themeColor="text1"/>
        </w:rPr>
        <w:t>Unsupervised NMF clustering of miRNA expression profiles of primary samples</w:t>
      </w:r>
      <w:r w:rsidRPr="005979BC">
        <w:rPr>
          <w:color w:val="000000" w:themeColor="text1"/>
        </w:rPr>
        <w:t>.</w:t>
      </w:r>
      <w:bookmarkEnd w:id="29"/>
    </w:p>
    <w:bookmarkEnd w:id="30"/>
    <w:bookmarkEnd w:id="31"/>
    <w:bookmarkEnd w:id="32"/>
    <w:bookmarkEnd w:id="33"/>
    <w:p w14:paraId="009AEACB" w14:textId="1E0FA7CD" w:rsidR="008B2B95" w:rsidRPr="00EC269E" w:rsidRDefault="008B2B95" w:rsidP="008B2B95">
      <w:pPr>
        <w:rPr>
          <w:szCs w:val="22"/>
        </w:rPr>
      </w:pPr>
      <w:r w:rsidRPr="00EC269E">
        <w:rPr>
          <w:szCs w:val="22"/>
        </w:rPr>
        <w:t>A) The NMF consensus map for k=4 sub-gro</w:t>
      </w:r>
      <w:r w:rsidR="00134265">
        <w:rPr>
          <w:szCs w:val="22"/>
        </w:rPr>
        <w:t>ups. Deep red blocks numbered 1—</w:t>
      </w:r>
      <w:r w:rsidRPr="00EC269E">
        <w:rPr>
          <w:szCs w:val="22"/>
        </w:rPr>
        <w:t>4 indicate 4 sub-groups that wer</w:t>
      </w:r>
      <w:r w:rsidR="00134265">
        <w:rPr>
          <w:szCs w:val="22"/>
        </w:rPr>
        <w:t>e identified using NMF. B) Heat</w:t>
      </w:r>
      <w:r w:rsidRPr="00EC269E">
        <w:rPr>
          <w:szCs w:val="22"/>
        </w:rPr>
        <w:t>map displaying expression of miRNAs that are significantly diffe</w:t>
      </w:r>
      <w:r w:rsidR="00134265">
        <w:rPr>
          <w:szCs w:val="22"/>
        </w:rPr>
        <w:t>rentially expressed between sub</w:t>
      </w:r>
      <w:r w:rsidRPr="00EC269E">
        <w:rPr>
          <w:szCs w:val="22"/>
        </w:rPr>
        <w:t xml:space="preserve">groups (Wilcoxon test BH adjusted </w:t>
      </w:r>
      <w:r w:rsidRPr="00EC269E">
        <w:rPr>
          <w:i/>
          <w:color w:val="000000" w:themeColor="text1"/>
        </w:rPr>
        <w:t>P</w:t>
      </w:r>
      <w:r w:rsidRPr="00EC269E">
        <w:rPr>
          <w:szCs w:val="22"/>
        </w:rPr>
        <w:t>&lt;0.05; log</w:t>
      </w:r>
      <w:r w:rsidRPr="00EC269E">
        <w:rPr>
          <w:szCs w:val="22"/>
          <w:vertAlign w:val="subscript"/>
        </w:rPr>
        <w:t>2</w:t>
      </w:r>
      <w:r w:rsidRPr="00EC269E">
        <w:rPr>
          <w:szCs w:val="22"/>
        </w:rPr>
        <w:t xml:space="preserve"> fold change &gt;1). C) Covariate tracks displaying clinical attributes of each patient. Red boxes indicate clinical attributes that enrich one cluster over the others (Fisher’s exact test </w:t>
      </w:r>
      <w:r w:rsidRPr="00EC269E">
        <w:rPr>
          <w:i/>
          <w:color w:val="000000" w:themeColor="text1"/>
        </w:rPr>
        <w:t>P</w:t>
      </w:r>
      <w:r w:rsidRPr="00EC269E">
        <w:rPr>
          <w:szCs w:val="22"/>
        </w:rPr>
        <w:t>&lt;0.01). D) Kaplan-Meier plots illustrating OS and EFS status of patients in each su</w:t>
      </w:r>
      <w:r w:rsidR="00FE098D">
        <w:rPr>
          <w:szCs w:val="22"/>
        </w:rPr>
        <w:t>b</w:t>
      </w:r>
      <w:r w:rsidRPr="00EC269E">
        <w:rPr>
          <w:szCs w:val="22"/>
        </w:rPr>
        <w:t>group.</w:t>
      </w:r>
    </w:p>
    <w:p w14:paraId="6564CD2D" w14:textId="77777777" w:rsidR="0063736C" w:rsidRDefault="0063736C" w:rsidP="00830035">
      <w:pPr>
        <w:pStyle w:val="Heading3"/>
        <w:rPr>
          <w:color w:val="000000" w:themeColor="text1"/>
        </w:rPr>
      </w:pPr>
    </w:p>
    <w:p w14:paraId="672019CD" w14:textId="031463FE" w:rsidR="0063736C" w:rsidRDefault="0063736C" w:rsidP="00830035">
      <w:pPr>
        <w:pStyle w:val="Heading3"/>
        <w:rPr>
          <w:color w:val="000000" w:themeColor="text1"/>
        </w:rPr>
      </w:pPr>
      <w:r>
        <w:rPr>
          <w:noProof/>
          <w:color w:val="000000" w:themeColor="text1"/>
        </w:rPr>
        <w:lastRenderedPageBreak/>
        <w:drawing>
          <wp:anchor distT="0" distB="0" distL="114300" distR="114300" simplePos="0" relativeHeight="251658240" behindDoc="0" locked="0" layoutInCell="1" allowOverlap="1" wp14:anchorId="178217A4" wp14:editId="24C498DD">
            <wp:simplePos x="0" y="0"/>
            <wp:positionH relativeFrom="column">
              <wp:posOffset>-865505</wp:posOffset>
            </wp:positionH>
            <wp:positionV relativeFrom="paragraph">
              <wp:posOffset>-681355</wp:posOffset>
            </wp:positionV>
            <wp:extent cx="7088505" cy="9176385"/>
            <wp:effectExtent l="0" t="0" r="0" b="0"/>
            <wp:wrapTopAndBottom/>
            <wp:docPr id="2" name="Picture 2" descr="../../Notes/NMF-20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s/NMF-2017.pd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088505" cy="91763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53E04B" w14:textId="1D31DCCC" w:rsidR="00830035" w:rsidRPr="005979BC" w:rsidRDefault="00830035" w:rsidP="00830035">
      <w:pPr>
        <w:pStyle w:val="Heading3"/>
        <w:rPr>
          <w:color w:val="000000" w:themeColor="text1"/>
        </w:rPr>
      </w:pPr>
      <w:bookmarkStart w:id="34" w:name="_Toc352927150"/>
      <w:r w:rsidRPr="005979BC">
        <w:rPr>
          <w:color w:val="000000" w:themeColor="text1"/>
        </w:rPr>
        <w:lastRenderedPageBreak/>
        <w:t>Supplementary</w:t>
      </w:r>
      <w:r w:rsidR="003B1E09">
        <w:rPr>
          <w:color w:val="000000" w:themeColor="text1"/>
        </w:rPr>
        <w:t xml:space="preserve"> Figure S2</w:t>
      </w:r>
      <w:r w:rsidR="00D61CD0">
        <w:rPr>
          <w:color w:val="000000" w:themeColor="text1"/>
        </w:rPr>
        <w:t xml:space="preserve"> – miRNA k2-15 NMF m</w:t>
      </w:r>
      <w:r w:rsidRPr="005979BC">
        <w:rPr>
          <w:color w:val="000000" w:themeColor="text1"/>
        </w:rPr>
        <w:t>etrics.</w:t>
      </w:r>
      <w:bookmarkEnd w:id="34"/>
    </w:p>
    <w:p w14:paraId="32D0846C" w14:textId="0E8D5519" w:rsidR="00830035" w:rsidRPr="005979BC" w:rsidRDefault="008B14A2" w:rsidP="00830035">
      <w:pPr>
        <w:rPr>
          <w:color w:val="000000" w:themeColor="text1"/>
        </w:rPr>
      </w:pPr>
      <w:r>
        <w:rPr>
          <w:color w:val="000000" w:themeColor="text1"/>
        </w:rPr>
        <w:t>A) Consensus maps of rank (k) 2</w:t>
      </w:r>
      <w:r>
        <w:rPr>
          <w:szCs w:val="22"/>
        </w:rPr>
        <w:t>—</w:t>
      </w:r>
      <w:r w:rsidR="00830035" w:rsidRPr="005979BC">
        <w:rPr>
          <w:color w:val="000000" w:themeColor="text1"/>
        </w:rPr>
        <w:t xml:space="preserve">15 solutions of unsupervised clustering of miRNA expression profiles of </w:t>
      </w:r>
      <w:r w:rsidR="005979BC" w:rsidRPr="005979BC">
        <w:rPr>
          <w:color w:val="000000" w:themeColor="text1"/>
        </w:rPr>
        <w:t>637</w:t>
      </w:r>
      <w:r w:rsidR="00830035" w:rsidRPr="005979BC">
        <w:rPr>
          <w:color w:val="000000" w:themeColor="text1"/>
        </w:rPr>
        <w:t xml:space="preserve"> primary samples. Deep red blocks indicate samples that consistently cluster with one another. B) Cophenetic coefficients (that provide measurements of the stability of the clusters), and silhouette widths (that indicate the consistency of the membership of each sample in the assigned cluste</w:t>
      </w:r>
      <w:r>
        <w:rPr>
          <w:color w:val="000000" w:themeColor="text1"/>
        </w:rPr>
        <w:t>r) of k: 2</w:t>
      </w:r>
      <w:r>
        <w:rPr>
          <w:szCs w:val="22"/>
        </w:rPr>
        <w:t>—</w:t>
      </w:r>
      <w:r w:rsidR="005979BC" w:rsidRPr="005979BC">
        <w:rPr>
          <w:color w:val="000000" w:themeColor="text1"/>
        </w:rPr>
        <w:t xml:space="preserve">15 solutions. The k=4 solution was chosen as it had the second highest cophenetic coefficient, and we reasoned that studying 4 </w:t>
      </w:r>
      <w:r>
        <w:rPr>
          <w:color w:val="000000" w:themeColor="text1"/>
        </w:rPr>
        <w:t>subgroups (as opposed to 2 sub</w:t>
      </w:r>
      <w:r w:rsidR="005979BC" w:rsidRPr="005979BC">
        <w:rPr>
          <w:color w:val="000000" w:themeColor="text1"/>
        </w:rPr>
        <w:t>groups) would uncover more insight into the heterogeneity of mRNA transcript expression in pediatric AML.</w:t>
      </w:r>
    </w:p>
    <w:p w14:paraId="28F0B640" w14:textId="61B9A714" w:rsidR="00B10BFE" w:rsidRPr="00E538A9" w:rsidRDefault="00B10BFE" w:rsidP="006C0944">
      <w:pPr>
        <w:rPr>
          <w:color w:val="000000" w:themeColor="text1"/>
        </w:rPr>
      </w:pPr>
    </w:p>
    <w:p w14:paraId="53C4F6DA" w14:textId="4E2D4E0C" w:rsidR="003F49CE" w:rsidRDefault="00A91A12">
      <w:pPr>
        <w:keepNext w:val="0"/>
        <w:spacing w:before="0" w:after="0" w:line="240" w:lineRule="auto"/>
        <w:rPr>
          <w:rFonts w:ascii="Helvetica" w:eastAsiaTheme="majorEastAsia" w:hAnsi="Helvetica" w:cstheme="majorBidi"/>
          <w:b/>
          <w:bCs/>
          <w:color w:val="000000" w:themeColor="text1"/>
          <w:sz w:val="24"/>
        </w:rPr>
      </w:pPr>
      <w:r>
        <w:rPr>
          <w:noProof/>
          <w:color w:val="000000" w:themeColor="text1"/>
        </w:rPr>
        <w:lastRenderedPageBreak/>
        <w:drawing>
          <wp:inline distT="0" distB="0" distL="0" distR="0" wp14:anchorId="31DDA607" wp14:editId="04F94ECA">
            <wp:extent cx="5486400" cy="7550150"/>
            <wp:effectExtent l="0" t="0" r="0" b="0"/>
            <wp:docPr id="7" name="Picture 7" descr="../../Notes/NMF_MIRNA_637_METRICS_K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tes/NMF_MIRNA_637_METRICS_K4.pd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7550150"/>
                    </a:xfrm>
                    <a:prstGeom prst="rect">
                      <a:avLst/>
                    </a:prstGeom>
                    <a:noFill/>
                    <a:ln>
                      <a:noFill/>
                    </a:ln>
                  </pic:spPr>
                </pic:pic>
              </a:graphicData>
            </a:graphic>
          </wp:inline>
        </w:drawing>
      </w:r>
      <w:r w:rsidR="00AD2894" w:rsidRPr="00E538A9">
        <w:rPr>
          <w:color w:val="000000" w:themeColor="text1"/>
        </w:rPr>
        <w:br w:type="page"/>
      </w:r>
    </w:p>
    <w:p w14:paraId="0818C611" w14:textId="2488E74D" w:rsidR="003D679C" w:rsidRPr="00845129" w:rsidRDefault="003D679C" w:rsidP="003D679C">
      <w:pPr>
        <w:pStyle w:val="Heading3"/>
        <w:rPr>
          <w:color w:val="000000" w:themeColor="text1"/>
        </w:rPr>
      </w:pPr>
      <w:bookmarkStart w:id="35" w:name="_Toc352927151"/>
      <w:r w:rsidRPr="00845129">
        <w:rPr>
          <w:color w:val="000000" w:themeColor="text1"/>
        </w:rPr>
        <w:lastRenderedPageBreak/>
        <w:t>Su</w:t>
      </w:r>
      <w:r w:rsidR="00D93CBA">
        <w:rPr>
          <w:color w:val="000000" w:themeColor="text1"/>
        </w:rPr>
        <w:t>pplementary Figure S3</w:t>
      </w:r>
      <w:r w:rsidR="00D61CD0">
        <w:rPr>
          <w:color w:val="000000" w:themeColor="text1"/>
        </w:rPr>
        <w:t xml:space="preserve"> – miRNAs associated with patient overall s</w:t>
      </w:r>
      <w:r w:rsidRPr="00845129">
        <w:rPr>
          <w:color w:val="000000" w:themeColor="text1"/>
        </w:rPr>
        <w:t>urvival (OS</w:t>
      </w:r>
      <w:r w:rsidR="00D61CD0">
        <w:rPr>
          <w:color w:val="000000" w:themeColor="text1"/>
        </w:rPr>
        <w:t>) and event free s</w:t>
      </w:r>
      <w:r w:rsidRPr="00845129">
        <w:rPr>
          <w:color w:val="000000" w:themeColor="text1"/>
        </w:rPr>
        <w:t>urvival (EFS)</w:t>
      </w:r>
      <w:bookmarkEnd w:id="35"/>
    </w:p>
    <w:p w14:paraId="5DDCE1B7" w14:textId="61C51C4E" w:rsidR="00830035" w:rsidRPr="00845129" w:rsidRDefault="00435E03" w:rsidP="00830035">
      <w:pPr>
        <w:rPr>
          <w:color w:val="000000" w:themeColor="text1"/>
        </w:rPr>
      </w:pPr>
      <w:r w:rsidRPr="00845129">
        <w:rPr>
          <w:color w:val="000000" w:themeColor="text1"/>
        </w:rPr>
        <w:t xml:space="preserve">38 miRNAs </w:t>
      </w:r>
      <w:r w:rsidR="00830035" w:rsidRPr="00845129">
        <w:rPr>
          <w:color w:val="000000" w:themeColor="text1"/>
        </w:rPr>
        <w:t xml:space="preserve">were significantly associated with </w:t>
      </w:r>
      <w:r w:rsidRPr="00845129">
        <w:rPr>
          <w:color w:val="000000" w:themeColor="text1"/>
        </w:rPr>
        <w:t>overall survival (OS) and event free survival (EFS)</w:t>
      </w:r>
      <w:r w:rsidR="00C0098E">
        <w:rPr>
          <w:color w:val="000000" w:themeColor="text1"/>
        </w:rPr>
        <w:t xml:space="preserve"> in the Discovery Cohort</w:t>
      </w:r>
      <w:r w:rsidRPr="00845129">
        <w:rPr>
          <w:color w:val="000000" w:themeColor="text1"/>
        </w:rPr>
        <w:t xml:space="preserve"> – 19 miRNAs were associated with superior outcomes and 19 other</w:t>
      </w:r>
      <w:r w:rsidR="00F94819">
        <w:rPr>
          <w:color w:val="000000" w:themeColor="text1"/>
        </w:rPr>
        <w:t xml:space="preserve"> miRNAs</w:t>
      </w:r>
      <w:r w:rsidRPr="00845129">
        <w:rPr>
          <w:color w:val="000000" w:themeColor="text1"/>
        </w:rPr>
        <w:t xml:space="preserve"> were associated with inferior outcomes.</w:t>
      </w:r>
      <w:r w:rsidR="00830035" w:rsidRPr="00845129">
        <w:rPr>
          <w:color w:val="000000" w:themeColor="text1"/>
        </w:rPr>
        <w:t xml:space="preserve"> Threshold for significance: Low/High Groups U</w:t>
      </w:r>
      <w:r w:rsidRPr="00845129">
        <w:rPr>
          <w:color w:val="000000" w:themeColor="text1"/>
        </w:rPr>
        <w:t xml:space="preserve">nivariate Cox PH q-value &lt;0.05 and continuous expression Univariate Cox PH q-value &lt;0.05. </w:t>
      </w:r>
      <w:r w:rsidR="00830035" w:rsidRPr="00845129">
        <w:rPr>
          <w:color w:val="000000" w:themeColor="text1"/>
        </w:rPr>
        <w:t>A) EFS (left) and OS (right) forest plots displaying Cox proportional hazard ratios and</w:t>
      </w:r>
      <w:r w:rsidR="005F6CF4" w:rsidRPr="00845129">
        <w:rPr>
          <w:color w:val="000000" w:themeColor="text1"/>
        </w:rPr>
        <w:t xml:space="preserve"> 95% confidence intervals of </w:t>
      </w:r>
      <w:r w:rsidR="00830035" w:rsidRPr="00845129">
        <w:rPr>
          <w:color w:val="000000" w:themeColor="text1"/>
        </w:rPr>
        <w:t xml:space="preserve">miRNAs that are significantly associated with survival. </w:t>
      </w:r>
      <w:r w:rsidR="005F6CF4" w:rsidRPr="00845129">
        <w:rPr>
          <w:color w:val="000000" w:themeColor="text1"/>
        </w:rPr>
        <w:t>Blue</w:t>
      </w:r>
      <w:r w:rsidR="00830035" w:rsidRPr="00845129">
        <w:rPr>
          <w:color w:val="000000" w:themeColor="text1"/>
        </w:rPr>
        <w:t xml:space="preserve"> dots/bars indicate miRNAs that are associated with OS/EFS; </w:t>
      </w:r>
      <w:r w:rsidR="002D395D">
        <w:rPr>
          <w:color w:val="000000" w:themeColor="text1"/>
        </w:rPr>
        <w:t>b</w:t>
      </w:r>
      <w:r w:rsidR="005F6CF4" w:rsidRPr="00845129">
        <w:rPr>
          <w:color w:val="000000" w:themeColor="text1"/>
        </w:rPr>
        <w:t>lack</w:t>
      </w:r>
      <w:r w:rsidR="00830035" w:rsidRPr="00845129">
        <w:rPr>
          <w:color w:val="000000" w:themeColor="text1"/>
        </w:rPr>
        <w:t xml:space="preserve"> dots/bars indicate miRNAs that are additionally associated with OS/EFS independently of risk group and white blood cell count sta</w:t>
      </w:r>
      <w:r w:rsidR="009E5CF9">
        <w:rPr>
          <w:color w:val="000000" w:themeColor="text1"/>
        </w:rPr>
        <w:t>tus (</w:t>
      </w:r>
      <w:r w:rsidR="009E5CF9" w:rsidRPr="00845129">
        <w:rPr>
          <w:color w:val="000000" w:themeColor="text1"/>
        </w:rPr>
        <w:t>Low/High Groups Multivariate Cox PH p-value &lt;0.05 and miRNA Expression (RPM) Univariate Cox PH q-value &lt;0.05</w:t>
      </w:r>
      <w:r w:rsidR="009E5CF9">
        <w:rPr>
          <w:color w:val="000000" w:themeColor="text1"/>
        </w:rPr>
        <w:t>)</w:t>
      </w:r>
      <w:r w:rsidR="009E5CF9" w:rsidRPr="00845129">
        <w:rPr>
          <w:color w:val="000000" w:themeColor="text1"/>
        </w:rPr>
        <w:t xml:space="preserve">. </w:t>
      </w:r>
      <w:r w:rsidR="00830035" w:rsidRPr="00845129">
        <w:rPr>
          <w:color w:val="000000" w:themeColor="text1"/>
        </w:rPr>
        <w:t xml:space="preserve"> B) Kaplan-Meier plots showing the association of miR-106a-5p</w:t>
      </w:r>
      <w:r w:rsidR="00E420B8">
        <w:rPr>
          <w:color w:val="000000" w:themeColor="text1"/>
        </w:rPr>
        <w:t xml:space="preserve"> and miR-106a-3p </w:t>
      </w:r>
      <w:r w:rsidR="00830035" w:rsidRPr="00845129">
        <w:rPr>
          <w:color w:val="000000" w:themeColor="text1"/>
        </w:rPr>
        <w:t>with OS and EFS in the miRNA. Boxplots indicate the range of miRNA expression in the Low/High expression groups. The cut point</w:t>
      </w:r>
      <w:r w:rsidR="00D378B3" w:rsidRPr="00845129">
        <w:rPr>
          <w:color w:val="000000" w:themeColor="text1"/>
        </w:rPr>
        <w:t xml:space="preserve">s </w:t>
      </w:r>
      <w:r w:rsidR="00830035" w:rsidRPr="00845129">
        <w:rPr>
          <w:color w:val="000000" w:themeColor="text1"/>
        </w:rPr>
        <w:t>for determining if patients had “low” or “high” expression for the miRNA was determined based on EFS data and using the X-tile method.</w:t>
      </w:r>
    </w:p>
    <w:p w14:paraId="76F0A463" w14:textId="14A9C700" w:rsidR="001434F4" w:rsidRDefault="001434F4" w:rsidP="006C0944"/>
    <w:p w14:paraId="7C05AE96" w14:textId="1635288D" w:rsidR="007F3854" w:rsidRDefault="007F3854">
      <w:pPr>
        <w:keepNext w:val="0"/>
        <w:spacing w:before="0" w:after="0" w:line="240" w:lineRule="auto"/>
        <w:rPr>
          <w:rFonts w:ascii="Helvetica" w:eastAsiaTheme="majorEastAsia" w:hAnsi="Helvetica" w:cstheme="majorBidi"/>
          <w:b/>
          <w:bCs/>
          <w:color w:val="000000" w:themeColor="text1"/>
          <w:sz w:val="24"/>
        </w:rPr>
      </w:pPr>
      <w:r>
        <w:rPr>
          <w:color w:val="000000" w:themeColor="text1"/>
        </w:rPr>
        <w:br w:type="page"/>
      </w:r>
      <w:r w:rsidR="00435E03">
        <w:rPr>
          <w:noProof/>
          <w:color w:val="000000" w:themeColor="text1"/>
        </w:rPr>
        <w:lastRenderedPageBreak/>
        <w:drawing>
          <wp:inline distT="0" distB="0" distL="0" distR="0" wp14:anchorId="590C10FF" wp14:editId="5C8FDD99">
            <wp:extent cx="5486400" cy="7543800"/>
            <wp:effectExtent l="0" t="0" r="0" b="0"/>
            <wp:docPr id="8" name="Picture 8" descr="Macintosh HD:Users:elim:Dropbox:Documents:Manuscripts:NCI_AML:Notes:637_novel_forrest_plots_with_106a_K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lim:Dropbox:Documents:Manuscripts:NCI_AML:Notes:637_novel_forrest_plots_with_106a_KM.pd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7543800"/>
                    </a:xfrm>
                    <a:prstGeom prst="rect">
                      <a:avLst/>
                    </a:prstGeom>
                    <a:noFill/>
                    <a:ln>
                      <a:noFill/>
                    </a:ln>
                  </pic:spPr>
                </pic:pic>
              </a:graphicData>
            </a:graphic>
          </wp:inline>
        </w:drawing>
      </w:r>
    </w:p>
    <w:p w14:paraId="739350C5" w14:textId="77777777" w:rsidR="00D93CBA" w:rsidRDefault="00D93CBA" w:rsidP="00830035">
      <w:pPr>
        <w:pStyle w:val="Heading3"/>
        <w:rPr>
          <w:color w:val="000000" w:themeColor="text1"/>
        </w:rPr>
      </w:pPr>
    </w:p>
    <w:p w14:paraId="1A97BE53" w14:textId="77777777" w:rsidR="00D93CBA" w:rsidRDefault="00D93CBA">
      <w:pPr>
        <w:keepNext w:val="0"/>
        <w:spacing w:before="0" w:after="0" w:line="240" w:lineRule="auto"/>
        <w:rPr>
          <w:rFonts w:ascii="Helvetica" w:eastAsiaTheme="majorEastAsia" w:hAnsi="Helvetica" w:cstheme="majorBidi"/>
          <w:b/>
          <w:bCs/>
          <w:color w:val="000000" w:themeColor="text1"/>
          <w:sz w:val="24"/>
        </w:rPr>
      </w:pPr>
      <w:r>
        <w:rPr>
          <w:color w:val="000000" w:themeColor="text1"/>
        </w:rPr>
        <w:br w:type="page"/>
      </w:r>
    </w:p>
    <w:p w14:paraId="5D1A2FC4" w14:textId="0D211B65" w:rsidR="0028430C" w:rsidRDefault="0028430C" w:rsidP="0028430C">
      <w:pPr>
        <w:pStyle w:val="Heading3"/>
        <w:rPr>
          <w:color w:val="000000" w:themeColor="text1"/>
        </w:rPr>
      </w:pPr>
      <w:bookmarkStart w:id="36" w:name="_Toc352927152"/>
      <w:r>
        <w:rPr>
          <w:color w:val="000000" w:themeColor="text1"/>
        </w:rPr>
        <w:lastRenderedPageBreak/>
        <w:t>Supplementary Figure S4</w:t>
      </w:r>
      <w:r w:rsidR="00E769E0">
        <w:rPr>
          <w:color w:val="000000" w:themeColor="text1"/>
        </w:rPr>
        <w:t xml:space="preserve"> – Cytogenetic/molecular Standard Risk cases are further classified b</w:t>
      </w:r>
      <w:bookmarkStart w:id="37" w:name="_GoBack"/>
      <w:bookmarkEnd w:id="37"/>
      <w:r w:rsidR="0028008E">
        <w:rPr>
          <w:color w:val="000000" w:themeColor="text1"/>
        </w:rPr>
        <w:t>y AMLmiR36</w:t>
      </w:r>
      <w:bookmarkEnd w:id="36"/>
    </w:p>
    <w:p w14:paraId="184D6B96" w14:textId="1FFD06A1" w:rsidR="00ED6C11" w:rsidRPr="00ED6C11" w:rsidRDefault="00ED6C11" w:rsidP="00ED6C11">
      <w:r>
        <w:t>Kaplan-Meier plots displaying Standard Risk (by cytogenetic/molecular grouping) cases from each clinical trial</w:t>
      </w:r>
      <w:r w:rsidR="00CE5C5E">
        <w:t xml:space="preserve"> (AAML03P1, AAML0531, AAML1031)</w:t>
      </w:r>
      <w:r>
        <w:t xml:space="preserve"> stratified by AMLmiR36.</w:t>
      </w:r>
      <w:r w:rsidR="001704E7">
        <w:t xml:space="preserve"> The </w:t>
      </w:r>
      <w:r w:rsidR="006A4C4C">
        <w:t xml:space="preserve">high AMLmiR36 </w:t>
      </w:r>
      <w:r w:rsidR="001704E7">
        <w:t xml:space="preserve">group cases (represented by green lines) consistently have </w:t>
      </w:r>
      <w:r w:rsidR="00CE5C5E">
        <w:t xml:space="preserve">significantly </w:t>
      </w:r>
      <w:r w:rsidR="001704E7">
        <w:t xml:space="preserve">inferior outcomes when compared with the </w:t>
      </w:r>
      <w:r w:rsidR="006A4C4C">
        <w:t xml:space="preserve">intermediate </w:t>
      </w:r>
      <w:r w:rsidR="001704E7">
        <w:t>AMLmiR36 group cases (represented by red lines).</w:t>
      </w:r>
      <w:r w:rsidR="00032A9A">
        <w:t xml:space="preserve"> </w:t>
      </w:r>
    </w:p>
    <w:p w14:paraId="63912628" w14:textId="06FD6E40" w:rsidR="00477C41" w:rsidRDefault="00541BE9">
      <w:pPr>
        <w:keepNext w:val="0"/>
        <w:spacing w:before="0" w:after="0" w:line="240" w:lineRule="auto"/>
        <w:rPr>
          <w:rFonts w:ascii="Helvetica" w:eastAsiaTheme="majorEastAsia" w:hAnsi="Helvetica" w:cstheme="majorBidi"/>
          <w:b/>
          <w:bCs/>
          <w:color w:val="000000" w:themeColor="text1"/>
          <w:sz w:val="24"/>
        </w:rPr>
      </w:pPr>
      <w:r>
        <w:rPr>
          <w:noProof/>
          <w:color w:val="000000" w:themeColor="text1"/>
        </w:rPr>
        <w:lastRenderedPageBreak/>
        <w:drawing>
          <wp:inline distT="0" distB="0" distL="0" distR="0" wp14:anchorId="48C65FB1" wp14:editId="1CAD9B75">
            <wp:extent cx="3110865" cy="7584440"/>
            <wp:effectExtent l="0" t="0" r="0" b="0"/>
            <wp:docPr id="5" name="Picture 5" descr="Macintosh HD:Users:elim_local:Dropbox:elim:documents:Current Manuscripts:NCI_AML:Notes:standard_risk_AAML0531_AAML103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m_local:Dropbox:elim:documents:Current Manuscripts:NCI_AML:Notes:standard_risk_AAML0531_AAML1031.pd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10865" cy="7584440"/>
                    </a:xfrm>
                    <a:prstGeom prst="rect">
                      <a:avLst/>
                    </a:prstGeom>
                    <a:noFill/>
                    <a:ln>
                      <a:noFill/>
                    </a:ln>
                  </pic:spPr>
                </pic:pic>
              </a:graphicData>
            </a:graphic>
          </wp:inline>
        </w:drawing>
      </w:r>
    </w:p>
    <w:p w14:paraId="72F4F668" w14:textId="0FCA6BAB" w:rsidR="00830035" w:rsidRPr="00FC21E9" w:rsidRDefault="0028430C" w:rsidP="00830035">
      <w:pPr>
        <w:pStyle w:val="Heading3"/>
        <w:rPr>
          <w:color w:val="000000" w:themeColor="text1"/>
        </w:rPr>
      </w:pPr>
      <w:bookmarkStart w:id="38" w:name="_Toc352927153"/>
      <w:r>
        <w:rPr>
          <w:color w:val="000000" w:themeColor="text1"/>
        </w:rPr>
        <w:lastRenderedPageBreak/>
        <w:t>Supplementary Figure S5</w:t>
      </w:r>
      <w:r w:rsidR="00830035" w:rsidRPr="00FC21E9">
        <w:rPr>
          <w:color w:val="000000" w:themeColor="text1"/>
        </w:rPr>
        <w:t xml:space="preserve"> – Identifying miRNA:mRNA expression correlations.</w:t>
      </w:r>
      <w:bookmarkEnd w:id="38"/>
    </w:p>
    <w:p w14:paraId="3A9DEF30" w14:textId="77777777" w:rsidR="00830035" w:rsidRPr="00FC21E9" w:rsidRDefault="00830035" w:rsidP="00830035">
      <w:pPr>
        <w:rPr>
          <w:color w:val="000000" w:themeColor="text1"/>
        </w:rPr>
      </w:pPr>
      <w:r w:rsidRPr="00FC21E9">
        <w:rPr>
          <w:color w:val="000000" w:themeColor="text1"/>
        </w:rPr>
        <w:t>A) In order to identify miRNA:mRNA pairs with anti-correlated expression profiles, we performed Spearman correlation tests for each miRNA:mRNA pair. The resulting Spearman correlation coefficients are displayed in this histogram. B) In order to represent miRNA:mRNA correlations that are noise, we generated a null distribution consisting of Spearman correlation coefficients of scrambled data. The null distribution was derived by performing Spearman correlations 50 times, each time randomizing the miRNA-seq library IDs. The resulting Spearman correlation coefficients are displayed in this histogram. C) To account for correlations that might have been stochastic noise, the rho distribution was then divided in 40 bins and the counts for each bin compared with counts from the null distribution depicted in B. miRNA:mRNA pairs in each bin were sorted by adjusted p-value, and only those that ranked above the threshold set by counts from bins derived from null distribution were considered for further analysis. In this plot, the grey bars represent the null distribution, the dark blue bars represent miRNA:mRNA correlations that were considered for analysis, and light blue bars represent miRNA:mRNA correlations that were excluded for analysis because they were considered stochastic noise.</w:t>
      </w:r>
    </w:p>
    <w:p w14:paraId="57EDE492" w14:textId="593380E3" w:rsidR="00830035" w:rsidRDefault="00FC21E9" w:rsidP="00830035">
      <w:r>
        <w:rPr>
          <w:noProof/>
        </w:rPr>
        <w:lastRenderedPageBreak/>
        <w:drawing>
          <wp:inline distT="0" distB="0" distL="0" distR="0" wp14:anchorId="483CCC1C" wp14:editId="0047AFE4">
            <wp:extent cx="5474970" cy="7095490"/>
            <wp:effectExtent l="0" t="0" r="0" b="0"/>
            <wp:docPr id="3" name="Picture 3" descr="Macintosh HD:Users:elim:Dropbox:Documents:Manuscripts:NCI_AML:Notes:637_novels_null_distribu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m:Dropbox:Documents:Manuscripts:NCI_AML:Notes:637_novels_null_distribution.pd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4970" cy="7095490"/>
                    </a:xfrm>
                    <a:prstGeom prst="rect">
                      <a:avLst/>
                    </a:prstGeom>
                    <a:noFill/>
                    <a:ln>
                      <a:noFill/>
                    </a:ln>
                  </pic:spPr>
                </pic:pic>
              </a:graphicData>
            </a:graphic>
          </wp:inline>
        </w:drawing>
      </w:r>
    </w:p>
    <w:p w14:paraId="321C105D" w14:textId="77777777" w:rsidR="005C7025" w:rsidRDefault="005C7025" w:rsidP="00830035"/>
    <w:p w14:paraId="136F9B8F" w14:textId="77777777" w:rsidR="00F3691D" w:rsidRDefault="00F3691D">
      <w:pPr>
        <w:keepNext w:val="0"/>
        <w:spacing w:before="0" w:after="0" w:line="240" w:lineRule="auto"/>
        <w:rPr>
          <w:rFonts w:ascii="Helvetica" w:eastAsiaTheme="majorEastAsia" w:hAnsi="Helvetica" w:cstheme="majorBidi"/>
          <w:b/>
          <w:bCs/>
          <w:color w:val="000000" w:themeColor="text1"/>
          <w:sz w:val="24"/>
        </w:rPr>
      </w:pPr>
      <w:r>
        <w:rPr>
          <w:color w:val="000000" w:themeColor="text1"/>
        </w:rPr>
        <w:br w:type="page"/>
      </w:r>
    </w:p>
    <w:p w14:paraId="7E96D2AE" w14:textId="458F4E8F" w:rsidR="00F3691D" w:rsidRPr="00E538A9" w:rsidRDefault="0028430C" w:rsidP="00F3691D">
      <w:pPr>
        <w:pStyle w:val="Heading3"/>
        <w:rPr>
          <w:color w:val="000000" w:themeColor="text1"/>
        </w:rPr>
      </w:pPr>
      <w:bookmarkStart w:id="39" w:name="_Toc352927154"/>
      <w:r>
        <w:rPr>
          <w:color w:val="000000" w:themeColor="text1"/>
        </w:rPr>
        <w:lastRenderedPageBreak/>
        <w:t>Supplementary Figure S6</w:t>
      </w:r>
      <w:r w:rsidR="00F3691D" w:rsidRPr="00E538A9">
        <w:rPr>
          <w:color w:val="000000" w:themeColor="text1"/>
        </w:rPr>
        <w:t xml:space="preserve"> – </w:t>
      </w:r>
      <w:r w:rsidR="00F3691D">
        <w:rPr>
          <w:color w:val="000000" w:themeColor="text1"/>
        </w:rPr>
        <w:t>miR-106a expression</w:t>
      </w:r>
      <w:r w:rsidR="00F3691D" w:rsidRPr="00E538A9">
        <w:rPr>
          <w:color w:val="000000" w:themeColor="text1"/>
        </w:rPr>
        <w:t>.</w:t>
      </w:r>
      <w:bookmarkEnd w:id="39"/>
    </w:p>
    <w:p w14:paraId="7B1D5B0D" w14:textId="77777777" w:rsidR="00F3691D" w:rsidRPr="00E538A9" w:rsidRDefault="00F3691D" w:rsidP="00F3691D">
      <w:pPr>
        <w:rPr>
          <w:color w:val="000000" w:themeColor="text1"/>
          <w:szCs w:val="22"/>
        </w:rPr>
      </w:pPr>
      <w:r>
        <w:rPr>
          <w:color w:val="000000" w:themeColor="text1"/>
          <w:szCs w:val="22"/>
        </w:rPr>
        <w:t>A)</w:t>
      </w:r>
      <w:r w:rsidRPr="00E538A9">
        <w:rPr>
          <w:color w:val="000000" w:themeColor="text1"/>
          <w:szCs w:val="22"/>
        </w:rPr>
        <w:t xml:space="preserve"> Boxplot depicting miR-106a-5p expression in primary, relapse and refractory samples. </w:t>
      </w:r>
      <w:r>
        <w:rPr>
          <w:color w:val="000000" w:themeColor="text1"/>
          <w:szCs w:val="22"/>
        </w:rPr>
        <w:t>B</w:t>
      </w:r>
      <w:r w:rsidRPr="00E538A9">
        <w:rPr>
          <w:color w:val="000000" w:themeColor="text1"/>
          <w:szCs w:val="22"/>
        </w:rPr>
        <w:t>) Boxplot depicting miR-106a-3p expression in primary, relapse and refractory samples.</w:t>
      </w:r>
    </w:p>
    <w:p w14:paraId="303AF14B" w14:textId="77777777" w:rsidR="00F3691D" w:rsidRDefault="00F3691D" w:rsidP="00F3691D">
      <w:pPr>
        <w:keepNext w:val="0"/>
        <w:spacing w:before="0" w:after="0" w:line="240" w:lineRule="auto"/>
        <w:rPr>
          <w:rFonts w:ascii="Helvetica" w:eastAsiaTheme="majorEastAsia" w:hAnsi="Helvetica" w:cstheme="majorBidi"/>
          <w:b/>
          <w:bCs/>
          <w:color w:val="FF0000"/>
          <w:sz w:val="24"/>
        </w:rPr>
      </w:pPr>
    </w:p>
    <w:p w14:paraId="60478F8E" w14:textId="77777777" w:rsidR="00F3691D" w:rsidRDefault="00F3691D" w:rsidP="00F3691D">
      <w:pPr>
        <w:keepNext w:val="0"/>
        <w:spacing w:before="0" w:after="0" w:line="240" w:lineRule="auto"/>
        <w:rPr>
          <w:rFonts w:ascii="Helvetica" w:eastAsiaTheme="majorEastAsia" w:hAnsi="Helvetica" w:cstheme="majorBidi"/>
          <w:b/>
          <w:bCs/>
          <w:color w:val="000000" w:themeColor="text1"/>
          <w:sz w:val="24"/>
        </w:rPr>
      </w:pPr>
      <w:r>
        <w:rPr>
          <w:noProof/>
          <w:color w:val="000000" w:themeColor="text1"/>
        </w:rPr>
        <w:drawing>
          <wp:inline distT="0" distB="0" distL="0" distR="0" wp14:anchorId="345B151A" wp14:editId="25454A1C">
            <wp:extent cx="5486400" cy="2265045"/>
            <wp:effectExtent l="0" t="0" r="0" b="0"/>
            <wp:docPr id="1" name="Picture 1" descr="Macintosh HD:Users:elim:Dropbox:Documents:Manuscripts:NCI_AML:Notes:boxplots_106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m:Dropbox:Documents:Manuscripts:NCI_AML:Notes:boxplots_106a.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2265045"/>
                    </a:xfrm>
                    <a:prstGeom prst="rect">
                      <a:avLst/>
                    </a:prstGeom>
                    <a:noFill/>
                    <a:ln>
                      <a:noFill/>
                    </a:ln>
                  </pic:spPr>
                </pic:pic>
              </a:graphicData>
            </a:graphic>
          </wp:inline>
        </w:drawing>
      </w:r>
    </w:p>
    <w:p w14:paraId="79AC823E" w14:textId="77777777" w:rsidR="005C7025" w:rsidRDefault="005C7025" w:rsidP="00830035"/>
    <w:p w14:paraId="535F23F1" w14:textId="77777777" w:rsidR="00F3691D" w:rsidRDefault="00F3691D">
      <w:pPr>
        <w:keepNext w:val="0"/>
        <w:spacing w:before="0" w:after="0" w:line="240" w:lineRule="auto"/>
        <w:rPr>
          <w:rFonts w:ascii="Helvetica" w:eastAsiaTheme="majorEastAsia" w:hAnsi="Helvetica" w:cstheme="majorBidi"/>
          <w:b/>
          <w:bCs/>
          <w:sz w:val="32"/>
          <w:szCs w:val="32"/>
        </w:rPr>
      </w:pPr>
      <w:r>
        <w:br w:type="page"/>
      </w:r>
    </w:p>
    <w:p w14:paraId="2788905A" w14:textId="3BAF6915" w:rsidR="0073280B" w:rsidRDefault="00DB5F1E" w:rsidP="0073280B">
      <w:pPr>
        <w:pStyle w:val="Heading1"/>
      </w:pPr>
      <w:bookmarkStart w:id="40" w:name="_Toc352927155"/>
      <w:r>
        <w:lastRenderedPageBreak/>
        <w:t>R</w:t>
      </w:r>
      <w:r w:rsidR="00B36973">
        <w:t xml:space="preserve">eferences For Supplementary </w:t>
      </w:r>
      <w:r w:rsidR="00E063E5">
        <w:t>Appendix</w:t>
      </w:r>
      <w:bookmarkEnd w:id="40"/>
    </w:p>
    <w:p w14:paraId="3C50A27A" w14:textId="77777777" w:rsidR="00C46D28" w:rsidRDefault="007C0B83"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fldChar w:fldCharType="begin"/>
      </w:r>
      <w:r>
        <w:instrText xml:space="preserve"> ADDIN PAPERS2_CITATIONS &lt;papers2_bibliography/&gt;</w:instrText>
      </w:r>
      <w:r>
        <w:fldChar w:fldCharType="separate"/>
      </w:r>
      <w:r w:rsidR="00C46D28">
        <w:rPr>
          <w:rFonts w:eastAsiaTheme="minorEastAsia" w:cs="Arial"/>
          <w:szCs w:val="22"/>
        </w:rPr>
        <w:t>1.</w:t>
      </w:r>
      <w:r w:rsidR="00C46D28">
        <w:rPr>
          <w:rFonts w:eastAsiaTheme="minorEastAsia" w:cs="Arial"/>
          <w:szCs w:val="22"/>
        </w:rPr>
        <w:tab/>
        <w:t xml:space="preserve">Lim EL, Trinh DL, Scott DW, et al. Comprehensive miRNA sequence analysis reveals survival differences in diffuse large B-cell lymphoma patients. Genome Biol 2015;16(1):18. </w:t>
      </w:r>
    </w:p>
    <w:p w14:paraId="7C75F018" w14:textId="77777777" w:rsidR="00C46D28" w:rsidRDefault="00C46D28"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rPr>
          <w:rFonts w:eastAsiaTheme="minorEastAsia" w:cs="Arial"/>
          <w:szCs w:val="22"/>
        </w:rPr>
        <w:t>2.</w:t>
      </w:r>
      <w:r>
        <w:rPr>
          <w:rFonts w:eastAsiaTheme="minorEastAsia" w:cs="Arial"/>
          <w:szCs w:val="22"/>
        </w:rPr>
        <w:tab/>
        <w:t>Gamis AS, Alonzo TA, Meshinchi S, et al. Gemtuzumab Ozogamicin in Children and Adolescents With De Novo Acute Myeloid Leukemia Improves Event-Free Survival by Reducing Relapse Risk: Results From the Randomized Phase III Children's Oncology Group Trial AAML0531. J Clin Oncol 2014;</w:t>
      </w:r>
    </w:p>
    <w:p w14:paraId="5388B763" w14:textId="77777777" w:rsidR="00C46D28" w:rsidRDefault="00C46D28"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rPr>
          <w:rFonts w:eastAsiaTheme="minorEastAsia" w:cs="Arial"/>
          <w:szCs w:val="22"/>
        </w:rPr>
        <w:t>3.</w:t>
      </w:r>
      <w:r>
        <w:rPr>
          <w:rFonts w:eastAsiaTheme="minorEastAsia" w:cs="Arial"/>
          <w:szCs w:val="22"/>
        </w:rPr>
        <w:tab/>
        <w:t xml:space="preserve">Camp RL, Dolled-Filhart M, Rimm DL. X-tile: a new bio-informatics tool for biomarker assessment and outcome-based cut-point optimization. Clin Cancer Res 2004;10(21):7252–9. </w:t>
      </w:r>
    </w:p>
    <w:p w14:paraId="3EF035BE" w14:textId="77777777" w:rsidR="00C46D28" w:rsidRDefault="00C46D28"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rPr>
          <w:rFonts w:eastAsiaTheme="minorEastAsia" w:cs="Arial"/>
          <w:szCs w:val="22"/>
        </w:rPr>
        <w:t>4.</w:t>
      </w:r>
      <w:r>
        <w:rPr>
          <w:rFonts w:eastAsiaTheme="minorEastAsia" w:cs="Arial"/>
          <w:szCs w:val="22"/>
        </w:rPr>
        <w:tab/>
        <w:t xml:space="preserve">The Cancer Genome Atlas Research Network. Genomic and epigenomic landscapes of adult de novo acute myeloid leukemia. N Engl J Med 2013;368(22):2059–74. </w:t>
      </w:r>
    </w:p>
    <w:p w14:paraId="204A9FA1" w14:textId="77777777" w:rsidR="00C46D28" w:rsidRDefault="00C46D28"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rPr>
          <w:rFonts w:eastAsiaTheme="minorEastAsia" w:cs="Arial"/>
          <w:szCs w:val="22"/>
        </w:rPr>
        <w:t>5.</w:t>
      </w:r>
      <w:r>
        <w:rPr>
          <w:rFonts w:eastAsiaTheme="minorEastAsia" w:cs="Arial"/>
          <w:szCs w:val="22"/>
        </w:rPr>
        <w:tab/>
        <w:t xml:space="preserve">Kozomara A, Griffiths-Jones S. miRBase: annotating high confidence microRNAs using deep sequencing data. Nucleic Acids Res 2014;42(1):D68–73. </w:t>
      </w:r>
    </w:p>
    <w:p w14:paraId="69DAA2A7" w14:textId="77777777" w:rsidR="00C46D28" w:rsidRDefault="00C46D28" w:rsidP="00C46D28">
      <w:pPr>
        <w:keepNext w:val="0"/>
        <w:widowControl w:val="0"/>
        <w:tabs>
          <w:tab w:val="left" w:pos="480"/>
        </w:tabs>
        <w:autoSpaceDE w:val="0"/>
        <w:autoSpaceDN w:val="0"/>
        <w:adjustRightInd w:val="0"/>
        <w:spacing w:before="0" w:line="240" w:lineRule="auto"/>
        <w:ind w:left="480" w:hanging="480"/>
        <w:rPr>
          <w:rFonts w:eastAsiaTheme="minorEastAsia" w:cs="Arial"/>
          <w:szCs w:val="22"/>
        </w:rPr>
      </w:pPr>
      <w:r>
        <w:rPr>
          <w:rFonts w:eastAsiaTheme="minorEastAsia" w:cs="Arial"/>
          <w:szCs w:val="22"/>
        </w:rPr>
        <w:t>6.</w:t>
      </w:r>
      <w:r>
        <w:rPr>
          <w:rFonts w:eastAsiaTheme="minorEastAsia" w:cs="Arial"/>
          <w:szCs w:val="22"/>
        </w:rPr>
        <w:tab/>
        <w:t xml:space="preserve">Trapnell C, Roberts A, Goff L, et al. Differential gene and transcript expression analysis of RNA-seq experiments with TopHat and Cufflinks. Nat Protoc 2012;7(3):562–78. </w:t>
      </w:r>
    </w:p>
    <w:p w14:paraId="7DA2E2E0" w14:textId="202F27E6" w:rsidR="00667142" w:rsidRDefault="007C0B83" w:rsidP="00C46D28">
      <w:pPr>
        <w:keepNext w:val="0"/>
        <w:widowControl w:val="0"/>
        <w:tabs>
          <w:tab w:val="left" w:pos="320"/>
        </w:tabs>
        <w:autoSpaceDE w:val="0"/>
        <w:autoSpaceDN w:val="0"/>
        <w:adjustRightInd w:val="0"/>
        <w:spacing w:before="0" w:line="240" w:lineRule="auto"/>
        <w:ind w:left="320" w:hanging="320"/>
      </w:pPr>
      <w:r>
        <w:fldChar w:fldCharType="end"/>
      </w:r>
    </w:p>
    <w:sectPr w:rsidR="00667142" w:rsidSect="00972BE8">
      <w:footerReference w:type="even" r:id="rId14"/>
      <w:footerReference w:type="default" r:id="rId15"/>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735AA0" w14:textId="77777777" w:rsidR="00425A2D" w:rsidRDefault="00425A2D" w:rsidP="003661B0">
      <w:pPr>
        <w:spacing w:before="0" w:after="0" w:line="240" w:lineRule="auto"/>
      </w:pPr>
      <w:r>
        <w:separator/>
      </w:r>
    </w:p>
  </w:endnote>
  <w:endnote w:type="continuationSeparator" w:id="0">
    <w:p w14:paraId="108C560E" w14:textId="77777777" w:rsidR="00425A2D" w:rsidRDefault="00425A2D" w:rsidP="003661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SimSun">
    <w:charset w:val="86"/>
    <w:family w:val="auto"/>
    <w:pitch w:val="variable"/>
    <w:sig w:usb0="00000003" w:usb1="288F0000" w:usb2="00000016" w:usb3="00000000" w:csb0="00040001" w:csb1="00000000"/>
  </w:font>
  <w:font w:name="Lucida Grande">
    <w:panose1 w:val="020B0600040502020204"/>
    <w:charset w:val="00"/>
    <w:family w:val="auto"/>
    <w:pitch w:val="variable"/>
    <w:sig w:usb0="E1000AEF" w:usb1="5000A1FF" w:usb2="00000000" w:usb3="00000000" w:csb0="000001BF"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EE33B" w14:textId="77777777" w:rsidR="00032A9A" w:rsidRDefault="00032A9A" w:rsidP="004E11F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B0032F" w14:textId="77777777" w:rsidR="00032A9A" w:rsidRDefault="00032A9A" w:rsidP="003661B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F319F4" w14:textId="77777777" w:rsidR="00032A9A" w:rsidRDefault="00032A9A" w:rsidP="004E11F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769E0">
      <w:rPr>
        <w:rStyle w:val="PageNumber"/>
        <w:noProof/>
      </w:rPr>
      <w:t>15</w:t>
    </w:r>
    <w:r>
      <w:rPr>
        <w:rStyle w:val="PageNumber"/>
      </w:rPr>
      <w:fldChar w:fldCharType="end"/>
    </w:r>
  </w:p>
  <w:p w14:paraId="7F37A098" w14:textId="6AB2F357" w:rsidR="00032A9A" w:rsidRDefault="00032A9A" w:rsidP="00AC65B3">
    <w:pPr>
      <w:pStyle w:val="Footer"/>
      <w:ind w:right="360"/>
      <w:jc w:val="right"/>
    </w:pPr>
    <w:r>
      <w:t>Supplementary Appendix Page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B08EA0" w14:textId="77777777" w:rsidR="00425A2D" w:rsidRDefault="00425A2D" w:rsidP="003661B0">
      <w:pPr>
        <w:spacing w:before="0" w:after="0" w:line="240" w:lineRule="auto"/>
      </w:pPr>
      <w:r>
        <w:separator/>
      </w:r>
    </w:p>
  </w:footnote>
  <w:footnote w:type="continuationSeparator" w:id="0">
    <w:p w14:paraId="734B1884" w14:textId="77777777" w:rsidR="00425A2D" w:rsidRDefault="00425A2D" w:rsidP="003661B0">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2"/>
  <w:activeWritingStyle w:appName="MSWord" w:lang="en-US" w:vendorID="64" w:dllVersion="131078" w:nlCheck="1" w:checkStyle="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60D2"/>
    <w:rsid w:val="00005D26"/>
    <w:rsid w:val="00011F3D"/>
    <w:rsid w:val="000137AE"/>
    <w:rsid w:val="00014437"/>
    <w:rsid w:val="000144CD"/>
    <w:rsid w:val="000272F3"/>
    <w:rsid w:val="00030023"/>
    <w:rsid w:val="00032A9A"/>
    <w:rsid w:val="00052D42"/>
    <w:rsid w:val="00053F4A"/>
    <w:rsid w:val="00056562"/>
    <w:rsid w:val="00071858"/>
    <w:rsid w:val="00077E1F"/>
    <w:rsid w:val="00090D56"/>
    <w:rsid w:val="000B13DE"/>
    <w:rsid w:val="000B45EA"/>
    <w:rsid w:val="000C18E7"/>
    <w:rsid w:val="000C536C"/>
    <w:rsid w:val="000D68D7"/>
    <w:rsid w:val="000D6A98"/>
    <w:rsid w:val="000E594F"/>
    <w:rsid w:val="000E7684"/>
    <w:rsid w:val="000F0628"/>
    <w:rsid w:val="00104438"/>
    <w:rsid w:val="00107E37"/>
    <w:rsid w:val="001303B8"/>
    <w:rsid w:val="00130ED5"/>
    <w:rsid w:val="00134265"/>
    <w:rsid w:val="001434F4"/>
    <w:rsid w:val="00154B6F"/>
    <w:rsid w:val="00166ECD"/>
    <w:rsid w:val="001704E7"/>
    <w:rsid w:val="00177B74"/>
    <w:rsid w:val="001857C0"/>
    <w:rsid w:val="0018721B"/>
    <w:rsid w:val="00197C26"/>
    <w:rsid w:val="001A0B4A"/>
    <w:rsid w:val="001A2FA1"/>
    <w:rsid w:val="001A7132"/>
    <w:rsid w:val="001B0A75"/>
    <w:rsid w:val="001C3FB0"/>
    <w:rsid w:val="001E556E"/>
    <w:rsid w:val="001F3F94"/>
    <w:rsid w:val="00204099"/>
    <w:rsid w:val="00205E47"/>
    <w:rsid w:val="00221821"/>
    <w:rsid w:val="00226A0D"/>
    <w:rsid w:val="002426BA"/>
    <w:rsid w:val="002450C1"/>
    <w:rsid w:val="0026189F"/>
    <w:rsid w:val="00273D19"/>
    <w:rsid w:val="0027481A"/>
    <w:rsid w:val="00276D68"/>
    <w:rsid w:val="0028008E"/>
    <w:rsid w:val="00280B2B"/>
    <w:rsid w:val="0028430C"/>
    <w:rsid w:val="00287C38"/>
    <w:rsid w:val="00295794"/>
    <w:rsid w:val="00295846"/>
    <w:rsid w:val="002A34C4"/>
    <w:rsid w:val="002C3FB2"/>
    <w:rsid w:val="002D395D"/>
    <w:rsid w:val="002E146C"/>
    <w:rsid w:val="002E2C68"/>
    <w:rsid w:val="003003C5"/>
    <w:rsid w:val="00306A5C"/>
    <w:rsid w:val="00313DEA"/>
    <w:rsid w:val="00314490"/>
    <w:rsid w:val="00314905"/>
    <w:rsid w:val="00315D35"/>
    <w:rsid w:val="00320D58"/>
    <w:rsid w:val="003250B6"/>
    <w:rsid w:val="00331AEB"/>
    <w:rsid w:val="00350A92"/>
    <w:rsid w:val="00365F8B"/>
    <w:rsid w:val="003661B0"/>
    <w:rsid w:val="0037161E"/>
    <w:rsid w:val="00372CE2"/>
    <w:rsid w:val="00374376"/>
    <w:rsid w:val="00381674"/>
    <w:rsid w:val="00390A69"/>
    <w:rsid w:val="00391323"/>
    <w:rsid w:val="003B1E09"/>
    <w:rsid w:val="003B2790"/>
    <w:rsid w:val="003B56DF"/>
    <w:rsid w:val="003C50E2"/>
    <w:rsid w:val="003D679C"/>
    <w:rsid w:val="003E5E96"/>
    <w:rsid w:val="003F49CE"/>
    <w:rsid w:val="00417022"/>
    <w:rsid w:val="00425A2D"/>
    <w:rsid w:val="00427818"/>
    <w:rsid w:val="00435E03"/>
    <w:rsid w:val="00437589"/>
    <w:rsid w:val="00443033"/>
    <w:rsid w:val="0045312E"/>
    <w:rsid w:val="00455D9E"/>
    <w:rsid w:val="00461ABD"/>
    <w:rsid w:val="00463C72"/>
    <w:rsid w:val="00465313"/>
    <w:rsid w:val="00477C41"/>
    <w:rsid w:val="00486A40"/>
    <w:rsid w:val="004A2D5B"/>
    <w:rsid w:val="004A49F3"/>
    <w:rsid w:val="004A52BD"/>
    <w:rsid w:val="004C03B9"/>
    <w:rsid w:val="004C0567"/>
    <w:rsid w:val="004E11FB"/>
    <w:rsid w:val="004F433E"/>
    <w:rsid w:val="00531353"/>
    <w:rsid w:val="00537904"/>
    <w:rsid w:val="00541BE9"/>
    <w:rsid w:val="005423AA"/>
    <w:rsid w:val="00553B6C"/>
    <w:rsid w:val="0057203C"/>
    <w:rsid w:val="005869FE"/>
    <w:rsid w:val="00596CAF"/>
    <w:rsid w:val="005979BC"/>
    <w:rsid w:val="005B3784"/>
    <w:rsid w:val="005B5D20"/>
    <w:rsid w:val="005C4C04"/>
    <w:rsid w:val="005C7025"/>
    <w:rsid w:val="005C76FF"/>
    <w:rsid w:val="005E3B33"/>
    <w:rsid w:val="005E6625"/>
    <w:rsid w:val="005E6B90"/>
    <w:rsid w:val="005F6CF4"/>
    <w:rsid w:val="00606485"/>
    <w:rsid w:val="0063736C"/>
    <w:rsid w:val="00642D56"/>
    <w:rsid w:val="006450AB"/>
    <w:rsid w:val="0065719B"/>
    <w:rsid w:val="00667142"/>
    <w:rsid w:val="0067346E"/>
    <w:rsid w:val="006760DC"/>
    <w:rsid w:val="00685060"/>
    <w:rsid w:val="00695E75"/>
    <w:rsid w:val="006A36D2"/>
    <w:rsid w:val="006A4C4C"/>
    <w:rsid w:val="006A5C38"/>
    <w:rsid w:val="006C0944"/>
    <w:rsid w:val="006C4393"/>
    <w:rsid w:val="006C5A0E"/>
    <w:rsid w:val="006D09DE"/>
    <w:rsid w:val="006E3FC8"/>
    <w:rsid w:val="006E50E0"/>
    <w:rsid w:val="00700C58"/>
    <w:rsid w:val="0070381D"/>
    <w:rsid w:val="007069AC"/>
    <w:rsid w:val="0070798F"/>
    <w:rsid w:val="00714C51"/>
    <w:rsid w:val="0072461C"/>
    <w:rsid w:val="0073280B"/>
    <w:rsid w:val="007373B8"/>
    <w:rsid w:val="00747A0B"/>
    <w:rsid w:val="007525FE"/>
    <w:rsid w:val="00765903"/>
    <w:rsid w:val="007758C2"/>
    <w:rsid w:val="0077714B"/>
    <w:rsid w:val="007848A8"/>
    <w:rsid w:val="00786860"/>
    <w:rsid w:val="00787855"/>
    <w:rsid w:val="00790882"/>
    <w:rsid w:val="00793284"/>
    <w:rsid w:val="00797A35"/>
    <w:rsid w:val="007C0036"/>
    <w:rsid w:val="007C0B83"/>
    <w:rsid w:val="007C0FF7"/>
    <w:rsid w:val="007C7A3E"/>
    <w:rsid w:val="007E661C"/>
    <w:rsid w:val="007F3091"/>
    <w:rsid w:val="007F3854"/>
    <w:rsid w:val="007F3F34"/>
    <w:rsid w:val="00820C6E"/>
    <w:rsid w:val="00830035"/>
    <w:rsid w:val="00844902"/>
    <w:rsid w:val="00845129"/>
    <w:rsid w:val="00863E3E"/>
    <w:rsid w:val="00872EA5"/>
    <w:rsid w:val="00874B3A"/>
    <w:rsid w:val="0088227B"/>
    <w:rsid w:val="008840EB"/>
    <w:rsid w:val="00886AA1"/>
    <w:rsid w:val="008901B2"/>
    <w:rsid w:val="008B14A2"/>
    <w:rsid w:val="008B2B95"/>
    <w:rsid w:val="008B6A50"/>
    <w:rsid w:val="008F5799"/>
    <w:rsid w:val="00910F4B"/>
    <w:rsid w:val="00921734"/>
    <w:rsid w:val="00923682"/>
    <w:rsid w:val="00940133"/>
    <w:rsid w:val="0094155B"/>
    <w:rsid w:val="009502DA"/>
    <w:rsid w:val="00954672"/>
    <w:rsid w:val="00956FA0"/>
    <w:rsid w:val="00972797"/>
    <w:rsid w:val="00972BE8"/>
    <w:rsid w:val="009737C8"/>
    <w:rsid w:val="0097614B"/>
    <w:rsid w:val="00976348"/>
    <w:rsid w:val="0098356A"/>
    <w:rsid w:val="0098788A"/>
    <w:rsid w:val="009908BE"/>
    <w:rsid w:val="00992ADB"/>
    <w:rsid w:val="009B01BA"/>
    <w:rsid w:val="009C7328"/>
    <w:rsid w:val="009C7510"/>
    <w:rsid w:val="009D2084"/>
    <w:rsid w:val="009E5CF9"/>
    <w:rsid w:val="009E796D"/>
    <w:rsid w:val="009F43E7"/>
    <w:rsid w:val="009F6832"/>
    <w:rsid w:val="00A05ECB"/>
    <w:rsid w:val="00A35CE3"/>
    <w:rsid w:val="00A63864"/>
    <w:rsid w:val="00A644C5"/>
    <w:rsid w:val="00A64528"/>
    <w:rsid w:val="00A70035"/>
    <w:rsid w:val="00A84499"/>
    <w:rsid w:val="00A90E63"/>
    <w:rsid w:val="00A91A12"/>
    <w:rsid w:val="00A91FBC"/>
    <w:rsid w:val="00A94937"/>
    <w:rsid w:val="00AB2F82"/>
    <w:rsid w:val="00AC65B3"/>
    <w:rsid w:val="00AD22FE"/>
    <w:rsid w:val="00AD2894"/>
    <w:rsid w:val="00AE364A"/>
    <w:rsid w:val="00AF57B1"/>
    <w:rsid w:val="00B01890"/>
    <w:rsid w:val="00B10BFE"/>
    <w:rsid w:val="00B17648"/>
    <w:rsid w:val="00B33249"/>
    <w:rsid w:val="00B36973"/>
    <w:rsid w:val="00B42D3E"/>
    <w:rsid w:val="00B463E0"/>
    <w:rsid w:val="00B74924"/>
    <w:rsid w:val="00B9177B"/>
    <w:rsid w:val="00B91B66"/>
    <w:rsid w:val="00B979A2"/>
    <w:rsid w:val="00BA08A8"/>
    <w:rsid w:val="00BA653F"/>
    <w:rsid w:val="00BB2EF8"/>
    <w:rsid w:val="00BB4DBA"/>
    <w:rsid w:val="00BB7974"/>
    <w:rsid w:val="00BC25AE"/>
    <w:rsid w:val="00BE2F98"/>
    <w:rsid w:val="00BE7CBE"/>
    <w:rsid w:val="00BF6890"/>
    <w:rsid w:val="00BF6D64"/>
    <w:rsid w:val="00C0098E"/>
    <w:rsid w:val="00C02558"/>
    <w:rsid w:val="00C04FC2"/>
    <w:rsid w:val="00C146D6"/>
    <w:rsid w:val="00C16BBB"/>
    <w:rsid w:val="00C276F9"/>
    <w:rsid w:val="00C27DC4"/>
    <w:rsid w:val="00C3340A"/>
    <w:rsid w:val="00C33E21"/>
    <w:rsid w:val="00C34E7A"/>
    <w:rsid w:val="00C44019"/>
    <w:rsid w:val="00C447BC"/>
    <w:rsid w:val="00C46430"/>
    <w:rsid w:val="00C46D28"/>
    <w:rsid w:val="00C5011F"/>
    <w:rsid w:val="00C5072D"/>
    <w:rsid w:val="00C52223"/>
    <w:rsid w:val="00C57498"/>
    <w:rsid w:val="00C62E1E"/>
    <w:rsid w:val="00C70DBB"/>
    <w:rsid w:val="00C77229"/>
    <w:rsid w:val="00CA410B"/>
    <w:rsid w:val="00CA7E58"/>
    <w:rsid w:val="00CB60D2"/>
    <w:rsid w:val="00CC1212"/>
    <w:rsid w:val="00CC45E2"/>
    <w:rsid w:val="00CC5648"/>
    <w:rsid w:val="00CD340F"/>
    <w:rsid w:val="00CE5C5E"/>
    <w:rsid w:val="00D00919"/>
    <w:rsid w:val="00D00D9B"/>
    <w:rsid w:val="00D04D2C"/>
    <w:rsid w:val="00D17BD6"/>
    <w:rsid w:val="00D378B3"/>
    <w:rsid w:val="00D462DE"/>
    <w:rsid w:val="00D5217E"/>
    <w:rsid w:val="00D61CD0"/>
    <w:rsid w:val="00D74F2A"/>
    <w:rsid w:val="00D82D32"/>
    <w:rsid w:val="00D93CBA"/>
    <w:rsid w:val="00DA1C00"/>
    <w:rsid w:val="00DA46D7"/>
    <w:rsid w:val="00DA7AF9"/>
    <w:rsid w:val="00DB5F1E"/>
    <w:rsid w:val="00DB65E6"/>
    <w:rsid w:val="00DC10AD"/>
    <w:rsid w:val="00DD219C"/>
    <w:rsid w:val="00DE1D84"/>
    <w:rsid w:val="00DE4B79"/>
    <w:rsid w:val="00DE6FF1"/>
    <w:rsid w:val="00DF7CA5"/>
    <w:rsid w:val="00E02285"/>
    <w:rsid w:val="00E063E5"/>
    <w:rsid w:val="00E06459"/>
    <w:rsid w:val="00E0730E"/>
    <w:rsid w:val="00E30BA3"/>
    <w:rsid w:val="00E33497"/>
    <w:rsid w:val="00E40022"/>
    <w:rsid w:val="00E40247"/>
    <w:rsid w:val="00E420B8"/>
    <w:rsid w:val="00E424D0"/>
    <w:rsid w:val="00E44BBF"/>
    <w:rsid w:val="00E538A9"/>
    <w:rsid w:val="00E646F1"/>
    <w:rsid w:val="00E67C9D"/>
    <w:rsid w:val="00E701DC"/>
    <w:rsid w:val="00E71EF4"/>
    <w:rsid w:val="00E769E0"/>
    <w:rsid w:val="00E86DB9"/>
    <w:rsid w:val="00EA6C46"/>
    <w:rsid w:val="00EB00CB"/>
    <w:rsid w:val="00EB3F01"/>
    <w:rsid w:val="00EB3F7C"/>
    <w:rsid w:val="00EB57CD"/>
    <w:rsid w:val="00EC520D"/>
    <w:rsid w:val="00ED6C11"/>
    <w:rsid w:val="00ED7592"/>
    <w:rsid w:val="00EE38F0"/>
    <w:rsid w:val="00EF4771"/>
    <w:rsid w:val="00EF4A7C"/>
    <w:rsid w:val="00EF647A"/>
    <w:rsid w:val="00F0427D"/>
    <w:rsid w:val="00F049EC"/>
    <w:rsid w:val="00F0773C"/>
    <w:rsid w:val="00F10A0D"/>
    <w:rsid w:val="00F11DFE"/>
    <w:rsid w:val="00F23C7C"/>
    <w:rsid w:val="00F30E85"/>
    <w:rsid w:val="00F30FF9"/>
    <w:rsid w:val="00F3691D"/>
    <w:rsid w:val="00F53305"/>
    <w:rsid w:val="00F66B68"/>
    <w:rsid w:val="00F721F3"/>
    <w:rsid w:val="00F75969"/>
    <w:rsid w:val="00F76AF2"/>
    <w:rsid w:val="00F94819"/>
    <w:rsid w:val="00F95A7B"/>
    <w:rsid w:val="00FA4196"/>
    <w:rsid w:val="00FA5A75"/>
    <w:rsid w:val="00FB12D6"/>
    <w:rsid w:val="00FB5999"/>
    <w:rsid w:val="00FC1D32"/>
    <w:rsid w:val="00FC21E9"/>
    <w:rsid w:val="00FD22A3"/>
    <w:rsid w:val="00FE098D"/>
    <w:rsid w:val="00FE1EC2"/>
    <w:rsid w:val="00FE47C6"/>
    <w:rsid w:val="00FF4066"/>
  </w:rsids>
  <m:mathPr>
    <m:mathFont m:val="Cambria Math"/>
    <m:brkBin m:val="before"/>
    <m:brkBinSub m:val="--"/>
    <m:smallFrac/>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4FCB1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61E"/>
    <w:pPr>
      <w:keepNext/>
      <w:spacing w:before="240" w:after="240" w:line="360" w:lineRule="auto"/>
    </w:pPr>
    <w:rPr>
      <w:rFonts w:ascii="Arial" w:eastAsia="Cambria" w:hAnsi="Arial" w:cs="Times New Roman"/>
      <w:sz w:val="22"/>
    </w:rPr>
  </w:style>
  <w:style w:type="paragraph" w:styleId="Heading1">
    <w:name w:val="heading 1"/>
    <w:basedOn w:val="Normal"/>
    <w:next w:val="Normal"/>
    <w:link w:val="Heading1Char"/>
    <w:uiPriority w:val="9"/>
    <w:qFormat/>
    <w:rsid w:val="00E30BA3"/>
    <w:pPr>
      <w:keepLines/>
      <w:spacing w:before="480" w:after="0"/>
      <w:outlineLvl w:val="0"/>
    </w:pPr>
    <w:rPr>
      <w:rFonts w:ascii="Helvetica" w:eastAsiaTheme="majorEastAsia" w:hAnsi="Helvetica" w:cstheme="majorBidi"/>
      <w:b/>
      <w:bCs/>
      <w:sz w:val="32"/>
      <w:szCs w:val="32"/>
    </w:rPr>
  </w:style>
  <w:style w:type="paragraph" w:styleId="Heading2">
    <w:name w:val="heading 2"/>
    <w:basedOn w:val="Normal"/>
    <w:next w:val="Normal"/>
    <w:link w:val="Heading2Char"/>
    <w:uiPriority w:val="9"/>
    <w:qFormat/>
    <w:rsid w:val="00CB60D2"/>
    <w:pPr>
      <w:keepLines/>
      <w:spacing w:before="360" w:line="240" w:lineRule="auto"/>
      <w:outlineLvl w:val="1"/>
    </w:pPr>
    <w:rPr>
      <w:rFonts w:eastAsia="SimSun"/>
      <w:bCs/>
      <w:szCs w:val="26"/>
      <w:u w:val="single"/>
    </w:rPr>
  </w:style>
  <w:style w:type="paragraph" w:styleId="Heading3">
    <w:name w:val="heading 3"/>
    <w:basedOn w:val="Normal"/>
    <w:next w:val="Normal"/>
    <w:link w:val="Heading3Char"/>
    <w:uiPriority w:val="9"/>
    <w:unhideWhenUsed/>
    <w:qFormat/>
    <w:rsid w:val="00052D42"/>
    <w:pPr>
      <w:keepLines/>
      <w:spacing w:before="200" w:after="0"/>
      <w:outlineLvl w:val="2"/>
    </w:pPr>
    <w:rPr>
      <w:rFonts w:ascii="Helvetica" w:eastAsiaTheme="majorEastAsia" w:hAnsi="Helvetica"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B60D2"/>
    <w:rPr>
      <w:rFonts w:ascii="Arial" w:eastAsia="SimSun" w:hAnsi="Arial" w:cs="Times New Roman"/>
      <w:bCs/>
      <w:sz w:val="22"/>
      <w:szCs w:val="26"/>
      <w:u w:val="single"/>
    </w:rPr>
  </w:style>
  <w:style w:type="paragraph" w:styleId="DocumentMap">
    <w:name w:val="Document Map"/>
    <w:basedOn w:val="Normal"/>
    <w:link w:val="DocumentMapChar"/>
    <w:uiPriority w:val="99"/>
    <w:semiHidden/>
    <w:unhideWhenUsed/>
    <w:rsid w:val="00CB60D2"/>
    <w:pPr>
      <w:spacing w:before="0" w:after="0" w:line="240" w:lineRule="auto"/>
    </w:pPr>
    <w:rPr>
      <w:rFonts w:ascii="Lucida Grande" w:hAnsi="Lucida Grande" w:cs="Lucida Grande"/>
      <w:sz w:val="24"/>
    </w:rPr>
  </w:style>
  <w:style w:type="character" w:customStyle="1" w:styleId="DocumentMapChar">
    <w:name w:val="Document Map Char"/>
    <w:basedOn w:val="DefaultParagraphFont"/>
    <w:link w:val="DocumentMap"/>
    <w:uiPriority w:val="99"/>
    <w:semiHidden/>
    <w:rsid w:val="00CB60D2"/>
    <w:rPr>
      <w:rFonts w:ascii="Lucida Grande" w:eastAsia="Cambria" w:hAnsi="Lucida Grande" w:cs="Lucida Grande"/>
    </w:rPr>
  </w:style>
  <w:style w:type="character" w:customStyle="1" w:styleId="Heading1Char">
    <w:name w:val="Heading 1 Char"/>
    <w:basedOn w:val="DefaultParagraphFont"/>
    <w:link w:val="Heading1"/>
    <w:uiPriority w:val="9"/>
    <w:rsid w:val="00E30BA3"/>
    <w:rPr>
      <w:rFonts w:ascii="Helvetica" w:eastAsiaTheme="majorEastAsia" w:hAnsi="Helvetica" w:cstheme="majorBidi"/>
      <w:b/>
      <w:bCs/>
      <w:sz w:val="32"/>
      <w:szCs w:val="32"/>
    </w:rPr>
  </w:style>
  <w:style w:type="paragraph" w:styleId="TOCHeading">
    <w:name w:val="TOC Heading"/>
    <w:basedOn w:val="Heading1"/>
    <w:next w:val="Normal"/>
    <w:uiPriority w:val="39"/>
    <w:unhideWhenUsed/>
    <w:qFormat/>
    <w:rsid w:val="00C27DC4"/>
    <w:pPr>
      <w:spacing w:line="276" w:lineRule="auto"/>
      <w:outlineLvl w:val="9"/>
    </w:pPr>
    <w:rPr>
      <w:sz w:val="28"/>
      <w:szCs w:val="28"/>
    </w:rPr>
  </w:style>
  <w:style w:type="paragraph" w:styleId="TOC1">
    <w:name w:val="toc 1"/>
    <w:basedOn w:val="Normal"/>
    <w:next w:val="Normal"/>
    <w:autoRedefine/>
    <w:uiPriority w:val="39"/>
    <w:unhideWhenUsed/>
    <w:rsid w:val="00C27DC4"/>
    <w:pPr>
      <w:spacing w:before="120" w:after="0"/>
    </w:pPr>
    <w:rPr>
      <w:rFonts w:ascii="Helvetica" w:hAnsi="Helvetica"/>
      <w:b/>
      <w:sz w:val="24"/>
    </w:rPr>
  </w:style>
  <w:style w:type="paragraph" w:styleId="TOC2">
    <w:name w:val="toc 2"/>
    <w:basedOn w:val="Normal"/>
    <w:next w:val="Normal"/>
    <w:autoRedefine/>
    <w:uiPriority w:val="39"/>
    <w:unhideWhenUsed/>
    <w:rsid w:val="00C27DC4"/>
    <w:pPr>
      <w:spacing w:before="0" w:after="0"/>
      <w:ind w:left="220"/>
    </w:pPr>
    <w:rPr>
      <w:rFonts w:ascii="Helvetica" w:hAnsi="Helvetica"/>
      <w:b/>
      <w:szCs w:val="22"/>
    </w:rPr>
  </w:style>
  <w:style w:type="paragraph" w:styleId="BalloonText">
    <w:name w:val="Balloon Text"/>
    <w:basedOn w:val="Normal"/>
    <w:link w:val="BalloonTextChar"/>
    <w:uiPriority w:val="99"/>
    <w:semiHidden/>
    <w:unhideWhenUsed/>
    <w:rsid w:val="00C27DC4"/>
    <w:pPr>
      <w:spacing w:before="0"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7DC4"/>
    <w:rPr>
      <w:rFonts w:ascii="Lucida Grande" w:eastAsia="Cambria" w:hAnsi="Lucida Grande" w:cs="Lucida Grande"/>
      <w:sz w:val="18"/>
      <w:szCs w:val="18"/>
    </w:rPr>
  </w:style>
  <w:style w:type="paragraph" w:styleId="TOC3">
    <w:name w:val="toc 3"/>
    <w:basedOn w:val="Normal"/>
    <w:next w:val="Normal"/>
    <w:autoRedefine/>
    <w:uiPriority w:val="39"/>
    <w:unhideWhenUsed/>
    <w:rsid w:val="003661B0"/>
    <w:pPr>
      <w:spacing w:before="0" w:after="0"/>
      <w:ind w:left="440"/>
    </w:pPr>
    <w:rPr>
      <w:rFonts w:ascii="Helvetica" w:hAnsi="Helvetica"/>
      <w:szCs w:val="22"/>
    </w:rPr>
  </w:style>
  <w:style w:type="paragraph" w:styleId="TOC4">
    <w:name w:val="toc 4"/>
    <w:basedOn w:val="Normal"/>
    <w:next w:val="Normal"/>
    <w:autoRedefine/>
    <w:uiPriority w:val="39"/>
    <w:semiHidden/>
    <w:unhideWhenUsed/>
    <w:rsid w:val="00C27DC4"/>
    <w:pPr>
      <w:spacing w:before="0" w:after="0"/>
      <w:ind w:left="660"/>
    </w:pPr>
    <w:rPr>
      <w:rFonts w:asciiTheme="minorHAnsi" w:hAnsiTheme="minorHAnsi"/>
      <w:sz w:val="20"/>
      <w:szCs w:val="20"/>
    </w:rPr>
  </w:style>
  <w:style w:type="paragraph" w:styleId="TOC5">
    <w:name w:val="toc 5"/>
    <w:basedOn w:val="Normal"/>
    <w:next w:val="Normal"/>
    <w:autoRedefine/>
    <w:uiPriority w:val="39"/>
    <w:semiHidden/>
    <w:unhideWhenUsed/>
    <w:rsid w:val="00C27DC4"/>
    <w:pPr>
      <w:spacing w:before="0" w:after="0"/>
      <w:ind w:left="880"/>
    </w:pPr>
    <w:rPr>
      <w:rFonts w:asciiTheme="minorHAnsi" w:hAnsiTheme="minorHAnsi"/>
      <w:sz w:val="20"/>
      <w:szCs w:val="20"/>
    </w:rPr>
  </w:style>
  <w:style w:type="paragraph" w:styleId="TOC6">
    <w:name w:val="toc 6"/>
    <w:basedOn w:val="Normal"/>
    <w:next w:val="Normal"/>
    <w:autoRedefine/>
    <w:uiPriority w:val="39"/>
    <w:semiHidden/>
    <w:unhideWhenUsed/>
    <w:rsid w:val="00C27DC4"/>
    <w:pPr>
      <w:spacing w:before="0" w:after="0"/>
      <w:ind w:left="1100"/>
    </w:pPr>
    <w:rPr>
      <w:rFonts w:asciiTheme="minorHAnsi" w:hAnsiTheme="minorHAnsi"/>
      <w:sz w:val="20"/>
      <w:szCs w:val="20"/>
    </w:rPr>
  </w:style>
  <w:style w:type="paragraph" w:styleId="TOC7">
    <w:name w:val="toc 7"/>
    <w:basedOn w:val="Normal"/>
    <w:next w:val="Normal"/>
    <w:autoRedefine/>
    <w:uiPriority w:val="39"/>
    <w:semiHidden/>
    <w:unhideWhenUsed/>
    <w:rsid w:val="00C27DC4"/>
    <w:pPr>
      <w:spacing w:before="0" w:after="0"/>
      <w:ind w:left="1320"/>
    </w:pPr>
    <w:rPr>
      <w:rFonts w:asciiTheme="minorHAnsi" w:hAnsiTheme="minorHAnsi"/>
      <w:sz w:val="20"/>
      <w:szCs w:val="20"/>
    </w:rPr>
  </w:style>
  <w:style w:type="paragraph" w:styleId="TOC8">
    <w:name w:val="toc 8"/>
    <w:basedOn w:val="Normal"/>
    <w:next w:val="Normal"/>
    <w:autoRedefine/>
    <w:uiPriority w:val="39"/>
    <w:semiHidden/>
    <w:unhideWhenUsed/>
    <w:rsid w:val="00C27DC4"/>
    <w:pPr>
      <w:spacing w:before="0" w:after="0"/>
      <w:ind w:left="1540"/>
    </w:pPr>
    <w:rPr>
      <w:rFonts w:asciiTheme="minorHAnsi" w:hAnsiTheme="minorHAnsi"/>
      <w:sz w:val="20"/>
      <w:szCs w:val="20"/>
    </w:rPr>
  </w:style>
  <w:style w:type="paragraph" w:styleId="TOC9">
    <w:name w:val="toc 9"/>
    <w:basedOn w:val="Normal"/>
    <w:next w:val="Normal"/>
    <w:autoRedefine/>
    <w:uiPriority w:val="39"/>
    <w:semiHidden/>
    <w:unhideWhenUsed/>
    <w:rsid w:val="00C27DC4"/>
    <w:pPr>
      <w:spacing w:before="0" w:after="0"/>
      <w:ind w:left="1760"/>
    </w:pPr>
    <w:rPr>
      <w:rFonts w:asciiTheme="minorHAnsi" w:hAnsiTheme="minorHAnsi"/>
      <w:sz w:val="20"/>
      <w:szCs w:val="20"/>
    </w:rPr>
  </w:style>
  <w:style w:type="paragraph" w:styleId="Title">
    <w:name w:val="Title"/>
    <w:basedOn w:val="Normal"/>
    <w:next w:val="Normal"/>
    <w:link w:val="TitleChar"/>
    <w:uiPriority w:val="10"/>
    <w:qFormat/>
    <w:rsid w:val="00C34E7A"/>
    <w:pPr>
      <w:pBdr>
        <w:bottom w:val="single" w:sz="8" w:space="4" w:color="4F81BD" w:themeColor="accent1"/>
      </w:pBdr>
      <w:spacing w:before="0" w:after="300" w:line="240" w:lineRule="auto"/>
      <w:contextualSpacing/>
    </w:pPr>
    <w:rPr>
      <w:rFonts w:ascii="Helvetica" w:eastAsiaTheme="majorEastAsia" w:hAnsi="Helvetic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34E7A"/>
    <w:rPr>
      <w:rFonts w:ascii="Helvetica" w:eastAsiaTheme="majorEastAsia" w:hAnsi="Helvetica" w:cstheme="majorBidi"/>
      <w:color w:val="17365D" w:themeColor="text2" w:themeShade="BF"/>
      <w:spacing w:val="5"/>
      <w:kern w:val="28"/>
      <w:sz w:val="52"/>
      <w:szCs w:val="52"/>
    </w:rPr>
  </w:style>
  <w:style w:type="paragraph" w:styleId="ListParagraph">
    <w:name w:val="List Paragraph"/>
    <w:basedOn w:val="Normal"/>
    <w:uiPriority w:val="34"/>
    <w:qFormat/>
    <w:rsid w:val="00DA46D7"/>
    <w:pPr>
      <w:ind w:left="720"/>
      <w:contextualSpacing/>
    </w:pPr>
  </w:style>
  <w:style w:type="character" w:styleId="Hyperlink">
    <w:name w:val="Hyperlink"/>
    <w:basedOn w:val="DefaultParagraphFont"/>
    <w:uiPriority w:val="99"/>
    <w:unhideWhenUsed/>
    <w:rsid w:val="007F3091"/>
    <w:rPr>
      <w:color w:val="0000FF" w:themeColor="hyperlink"/>
      <w:u w:val="single"/>
    </w:rPr>
  </w:style>
  <w:style w:type="character" w:customStyle="1" w:styleId="Heading3Char">
    <w:name w:val="Heading 3 Char"/>
    <w:basedOn w:val="DefaultParagraphFont"/>
    <w:link w:val="Heading3"/>
    <w:uiPriority w:val="9"/>
    <w:rsid w:val="00052D42"/>
    <w:rPr>
      <w:rFonts w:ascii="Helvetica" w:eastAsiaTheme="majorEastAsia" w:hAnsi="Helvetica" w:cstheme="majorBidi"/>
      <w:b/>
      <w:bCs/>
    </w:rPr>
  </w:style>
  <w:style w:type="paragraph" w:styleId="Footer">
    <w:name w:val="footer"/>
    <w:basedOn w:val="Normal"/>
    <w:link w:val="FooterChar"/>
    <w:uiPriority w:val="99"/>
    <w:unhideWhenUsed/>
    <w:rsid w:val="003661B0"/>
    <w:pPr>
      <w:tabs>
        <w:tab w:val="center" w:pos="4320"/>
        <w:tab w:val="right" w:pos="8640"/>
      </w:tabs>
      <w:spacing w:before="0" w:after="0" w:line="240" w:lineRule="auto"/>
    </w:pPr>
  </w:style>
  <w:style w:type="character" w:customStyle="1" w:styleId="FooterChar">
    <w:name w:val="Footer Char"/>
    <w:basedOn w:val="DefaultParagraphFont"/>
    <w:link w:val="Footer"/>
    <w:uiPriority w:val="99"/>
    <w:rsid w:val="003661B0"/>
    <w:rPr>
      <w:rFonts w:ascii="Arial" w:eastAsia="Cambria" w:hAnsi="Arial" w:cs="Times New Roman"/>
      <w:sz w:val="22"/>
    </w:rPr>
  </w:style>
  <w:style w:type="character" w:styleId="PageNumber">
    <w:name w:val="page number"/>
    <w:basedOn w:val="DefaultParagraphFont"/>
    <w:uiPriority w:val="99"/>
    <w:semiHidden/>
    <w:unhideWhenUsed/>
    <w:rsid w:val="003661B0"/>
  </w:style>
  <w:style w:type="paragraph" w:styleId="Header">
    <w:name w:val="header"/>
    <w:basedOn w:val="Normal"/>
    <w:link w:val="HeaderChar"/>
    <w:uiPriority w:val="99"/>
    <w:unhideWhenUsed/>
    <w:rsid w:val="00AC65B3"/>
    <w:pPr>
      <w:tabs>
        <w:tab w:val="center" w:pos="4320"/>
        <w:tab w:val="right" w:pos="8640"/>
      </w:tabs>
      <w:spacing w:before="0" w:after="0" w:line="240" w:lineRule="auto"/>
    </w:pPr>
  </w:style>
  <w:style w:type="character" w:customStyle="1" w:styleId="HeaderChar">
    <w:name w:val="Header Char"/>
    <w:basedOn w:val="DefaultParagraphFont"/>
    <w:link w:val="Header"/>
    <w:uiPriority w:val="99"/>
    <w:rsid w:val="00AC65B3"/>
    <w:rPr>
      <w:rFonts w:ascii="Arial" w:eastAsia="Cambria" w:hAnsi="Arial" w:cs="Times New Roman"/>
      <w:sz w:val="22"/>
    </w:rPr>
  </w:style>
  <w:style w:type="character" w:styleId="CommentReference">
    <w:name w:val="annotation reference"/>
    <w:basedOn w:val="DefaultParagraphFont"/>
    <w:uiPriority w:val="99"/>
    <w:unhideWhenUsed/>
    <w:rsid w:val="007758C2"/>
    <w:rPr>
      <w:sz w:val="16"/>
      <w:szCs w:val="16"/>
    </w:rPr>
  </w:style>
  <w:style w:type="paragraph" w:styleId="CommentText">
    <w:name w:val="annotation text"/>
    <w:basedOn w:val="Normal"/>
    <w:link w:val="CommentTextChar"/>
    <w:uiPriority w:val="99"/>
    <w:unhideWhenUsed/>
    <w:rsid w:val="007758C2"/>
    <w:pPr>
      <w:spacing w:line="240" w:lineRule="auto"/>
    </w:pPr>
    <w:rPr>
      <w:sz w:val="20"/>
      <w:szCs w:val="20"/>
    </w:rPr>
  </w:style>
  <w:style w:type="character" w:customStyle="1" w:styleId="CommentTextChar">
    <w:name w:val="Comment Text Char"/>
    <w:basedOn w:val="DefaultParagraphFont"/>
    <w:link w:val="CommentText"/>
    <w:uiPriority w:val="99"/>
    <w:rsid w:val="007758C2"/>
    <w:rPr>
      <w:rFonts w:ascii="Arial" w:eastAsia="Cambria" w:hAnsi="Arial" w:cs="Times New Roman"/>
      <w:sz w:val="20"/>
      <w:szCs w:val="20"/>
    </w:rPr>
  </w:style>
  <w:style w:type="paragraph" w:styleId="CommentSubject">
    <w:name w:val="annotation subject"/>
    <w:basedOn w:val="CommentText"/>
    <w:next w:val="CommentText"/>
    <w:link w:val="CommentSubjectChar"/>
    <w:uiPriority w:val="99"/>
    <w:semiHidden/>
    <w:unhideWhenUsed/>
    <w:rsid w:val="007758C2"/>
    <w:rPr>
      <w:b/>
      <w:bCs/>
    </w:rPr>
  </w:style>
  <w:style w:type="character" w:customStyle="1" w:styleId="CommentSubjectChar">
    <w:name w:val="Comment Subject Char"/>
    <w:basedOn w:val="CommentTextChar"/>
    <w:link w:val="CommentSubject"/>
    <w:uiPriority w:val="99"/>
    <w:semiHidden/>
    <w:rsid w:val="007758C2"/>
    <w:rPr>
      <w:rFonts w:ascii="Arial" w:eastAsia="Cambria" w:hAnsi="Arial" w:cs="Times New Roman"/>
      <w:b/>
      <w:bCs/>
      <w:sz w:val="20"/>
      <w:szCs w:val="20"/>
    </w:rPr>
  </w:style>
  <w:style w:type="paragraph" w:styleId="NoSpacing">
    <w:name w:val="No Spacing"/>
    <w:uiPriority w:val="1"/>
    <w:qFormat/>
    <w:rsid w:val="00A94937"/>
    <w:pPr>
      <w:keepNext/>
    </w:pPr>
    <w:rPr>
      <w:rFonts w:ascii="Arial" w:eastAsia="Cambria" w:hAnsi="Arial" w:cs="Times New Roman"/>
      <w:sz w:val="22"/>
    </w:rPr>
  </w:style>
  <w:style w:type="paragraph" w:styleId="Caption">
    <w:name w:val="caption"/>
    <w:basedOn w:val="Normal"/>
    <w:next w:val="Normal"/>
    <w:uiPriority w:val="35"/>
    <w:qFormat/>
    <w:rsid w:val="008B2B95"/>
    <w:rPr>
      <w:b/>
      <w:bCs/>
      <w:sz w:val="24"/>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61E"/>
    <w:pPr>
      <w:keepNext/>
      <w:spacing w:before="240" w:after="240" w:line="360" w:lineRule="auto"/>
    </w:pPr>
    <w:rPr>
      <w:rFonts w:ascii="Arial" w:eastAsia="Cambria" w:hAnsi="Arial" w:cs="Times New Roman"/>
      <w:sz w:val="22"/>
    </w:rPr>
  </w:style>
  <w:style w:type="paragraph" w:styleId="Heading1">
    <w:name w:val="heading 1"/>
    <w:basedOn w:val="Normal"/>
    <w:next w:val="Normal"/>
    <w:link w:val="Heading1Char"/>
    <w:uiPriority w:val="9"/>
    <w:qFormat/>
    <w:rsid w:val="00E30BA3"/>
    <w:pPr>
      <w:keepLines/>
      <w:spacing w:before="480" w:after="0"/>
      <w:outlineLvl w:val="0"/>
    </w:pPr>
    <w:rPr>
      <w:rFonts w:ascii="Helvetica" w:eastAsiaTheme="majorEastAsia" w:hAnsi="Helvetica" w:cstheme="majorBidi"/>
      <w:b/>
      <w:bCs/>
      <w:sz w:val="32"/>
      <w:szCs w:val="32"/>
    </w:rPr>
  </w:style>
  <w:style w:type="paragraph" w:styleId="Heading2">
    <w:name w:val="heading 2"/>
    <w:basedOn w:val="Normal"/>
    <w:next w:val="Normal"/>
    <w:link w:val="Heading2Char"/>
    <w:uiPriority w:val="9"/>
    <w:qFormat/>
    <w:rsid w:val="00CB60D2"/>
    <w:pPr>
      <w:keepLines/>
      <w:spacing w:before="360" w:line="240" w:lineRule="auto"/>
      <w:outlineLvl w:val="1"/>
    </w:pPr>
    <w:rPr>
      <w:rFonts w:eastAsia="SimSun"/>
      <w:bCs/>
      <w:szCs w:val="26"/>
      <w:u w:val="single"/>
    </w:rPr>
  </w:style>
  <w:style w:type="paragraph" w:styleId="Heading3">
    <w:name w:val="heading 3"/>
    <w:basedOn w:val="Normal"/>
    <w:next w:val="Normal"/>
    <w:link w:val="Heading3Char"/>
    <w:uiPriority w:val="9"/>
    <w:unhideWhenUsed/>
    <w:qFormat/>
    <w:rsid w:val="00052D42"/>
    <w:pPr>
      <w:keepLines/>
      <w:spacing w:before="200" w:after="0"/>
      <w:outlineLvl w:val="2"/>
    </w:pPr>
    <w:rPr>
      <w:rFonts w:ascii="Helvetica" w:eastAsiaTheme="majorEastAsia" w:hAnsi="Helvetica" w:cstheme="majorBidi"/>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B60D2"/>
    <w:rPr>
      <w:rFonts w:ascii="Arial" w:eastAsia="SimSun" w:hAnsi="Arial" w:cs="Times New Roman"/>
      <w:bCs/>
      <w:sz w:val="22"/>
      <w:szCs w:val="26"/>
      <w:u w:val="single"/>
    </w:rPr>
  </w:style>
  <w:style w:type="paragraph" w:styleId="DocumentMap">
    <w:name w:val="Document Map"/>
    <w:basedOn w:val="Normal"/>
    <w:link w:val="DocumentMapChar"/>
    <w:uiPriority w:val="99"/>
    <w:semiHidden/>
    <w:unhideWhenUsed/>
    <w:rsid w:val="00CB60D2"/>
    <w:pPr>
      <w:spacing w:before="0" w:after="0" w:line="240" w:lineRule="auto"/>
    </w:pPr>
    <w:rPr>
      <w:rFonts w:ascii="Lucida Grande" w:hAnsi="Lucida Grande" w:cs="Lucida Grande"/>
      <w:sz w:val="24"/>
    </w:rPr>
  </w:style>
  <w:style w:type="character" w:customStyle="1" w:styleId="DocumentMapChar">
    <w:name w:val="Document Map Char"/>
    <w:basedOn w:val="DefaultParagraphFont"/>
    <w:link w:val="DocumentMap"/>
    <w:uiPriority w:val="99"/>
    <w:semiHidden/>
    <w:rsid w:val="00CB60D2"/>
    <w:rPr>
      <w:rFonts w:ascii="Lucida Grande" w:eastAsia="Cambria" w:hAnsi="Lucida Grande" w:cs="Lucida Grande"/>
    </w:rPr>
  </w:style>
  <w:style w:type="character" w:customStyle="1" w:styleId="Heading1Char">
    <w:name w:val="Heading 1 Char"/>
    <w:basedOn w:val="DefaultParagraphFont"/>
    <w:link w:val="Heading1"/>
    <w:uiPriority w:val="9"/>
    <w:rsid w:val="00E30BA3"/>
    <w:rPr>
      <w:rFonts w:ascii="Helvetica" w:eastAsiaTheme="majorEastAsia" w:hAnsi="Helvetica" w:cstheme="majorBidi"/>
      <w:b/>
      <w:bCs/>
      <w:sz w:val="32"/>
      <w:szCs w:val="32"/>
    </w:rPr>
  </w:style>
  <w:style w:type="paragraph" w:styleId="TOCHeading">
    <w:name w:val="TOC Heading"/>
    <w:basedOn w:val="Heading1"/>
    <w:next w:val="Normal"/>
    <w:uiPriority w:val="39"/>
    <w:unhideWhenUsed/>
    <w:qFormat/>
    <w:rsid w:val="00C27DC4"/>
    <w:pPr>
      <w:spacing w:line="276" w:lineRule="auto"/>
      <w:outlineLvl w:val="9"/>
    </w:pPr>
    <w:rPr>
      <w:sz w:val="28"/>
      <w:szCs w:val="28"/>
    </w:rPr>
  </w:style>
  <w:style w:type="paragraph" w:styleId="TOC1">
    <w:name w:val="toc 1"/>
    <w:basedOn w:val="Normal"/>
    <w:next w:val="Normal"/>
    <w:autoRedefine/>
    <w:uiPriority w:val="39"/>
    <w:unhideWhenUsed/>
    <w:rsid w:val="00C27DC4"/>
    <w:pPr>
      <w:spacing w:before="120" w:after="0"/>
    </w:pPr>
    <w:rPr>
      <w:rFonts w:ascii="Helvetica" w:hAnsi="Helvetica"/>
      <w:b/>
      <w:sz w:val="24"/>
    </w:rPr>
  </w:style>
  <w:style w:type="paragraph" w:styleId="TOC2">
    <w:name w:val="toc 2"/>
    <w:basedOn w:val="Normal"/>
    <w:next w:val="Normal"/>
    <w:autoRedefine/>
    <w:uiPriority w:val="39"/>
    <w:unhideWhenUsed/>
    <w:rsid w:val="00C27DC4"/>
    <w:pPr>
      <w:spacing w:before="0" w:after="0"/>
      <w:ind w:left="220"/>
    </w:pPr>
    <w:rPr>
      <w:rFonts w:ascii="Helvetica" w:hAnsi="Helvetica"/>
      <w:b/>
      <w:szCs w:val="22"/>
    </w:rPr>
  </w:style>
  <w:style w:type="paragraph" w:styleId="BalloonText">
    <w:name w:val="Balloon Text"/>
    <w:basedOn w:val="Normal"/>
    <w:link w:val="BalloonTextChar"/>
    <w:uiPriority w:val="99"/>
    <w:semiHidden/>
    <w:unhideWhenUsed/>
    <w:rsid w:val="00C27DC4"/>
    <w:pPr>
      <w:spacing w:before="0"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7DC4"/>
    <w:rPr>
      <w:rFonts w:ascii="Lucida Grande" w:eastAsia="Cambria" w:hAnsi="Lucida Grande" w:cs="Lucida Grande"/>
      <w:sz w:val="18"/>
      <w:szCs w:val="18"/>
    </w:rPr>
  </w:style>
  <w:style w:type="paragraph" w:styleId="TOC3">
    <w:name w:val="toc 3"/>
    <w:basedOn w:val="Normal"/>
    <w:next w:val="Normal"/>
    <w:autoRedefine/>
    <w:uiPriority w:val="39"/>
    <w:unhideWhenUsed/>
    <w:rsid w:val="003661B0"/>
    <w:pPr>
      <w:spacing w:before="0" w:after="0"/>
      <w:ind w:left="440"/>
    </w:pPr>
    <w:rPr>
      <w:rFonts w:ascii="Helvetica" w:hAnsi="Helvetica"/>
      <w:szCs w:val="22"/>
    </w:rPr>
  </w:style>
  <w:style w:type="paragraph" w:styleId="TOC4">
    <w:name w:val="toc 4"/>
    <w:basedOn w:val="Normal"/>
    <w:next w:val="Normal"/>
    <w:autoRedefine/>
    <w:uiPriority w:val="39"/>
    <w:semiHidden/>
    <w:unhideWhenUsed/>
    <w:rsid w:val="00C27DC4"/>
    <w:pPr>
      <w:spacing w:before="0" w:after="0"/>
      <w:ind w:left="660"/>
    </w:pPr>
    <w:rPr>
      <w:rFonts w:asciiTheme="minorHAnsi" w:hAnsiTheme="minorHAnsi"/>
      <w:sz w:val="20"/>
      <w:szCs w:val="20"/>
    </w:rPr>
  </w:style>
  <w:style w:type="paragraph" w:styleId="TOC5">
    <w:name w:val="toc 5"/>
    <w:basedOn w:val="Normal"/>
    <w:next w:val="Normal"/>
    <w:autoRedefine/>
    <w:uiPriority w:val="39"/>
    <w:semiHidden/>
    <w:unhideWhenUsed/>
    <w:rsid w:val="00C27DC4"/>
    <w:pPr>
      <w:spacing w:before="0" w:after="0"/>
      <w:ind w:left="880"/>
    </w:pPr>
    <w:rPr>
      <w:rFonts w:asciiTheme="minorHAnsi" w:hAnsiTheme="minorHAnsi"/>
      <w:sz w:val="20"/>
      <w:szCs w:val="20"/>
    </w:rPr>
  </w:style>
  <w:style w:type="paragraph" w:styleId="TOC6">
    <w:name w:val="toc 6"/>
    <w:basedOn w:val="Normal"/>
    <w:next w:val="Normal"/>
    <w:autoRedefine/>
    <w:uiPriority w:val="39"/>
    <w:semiHidden/>
    <w:unhideWhenUsed/>
    <w:rsid w:val="00C27DC4"/>
    <w:pPr>
      <w:spacing w:before="0" w:after="0"/>
      <w:ind w:left="1100"/>
    </w:pPr>
    <w:rPr>
      <w:rFonts w:asciiTheme="minorHAnsi" w:hAnsiTheme="minorHAnsi"/>
      <w:sz w:val="20"/>
      <w:szCs w:val="20"/>
    </w:rPr>
  </w:style>
  <w:style w:type="paragraph" w:styleId="TOC7">
    <w:name w:val="toc 7"/>
    <w:basedOn w:val="Normal"/>
    <w:next w:val="Normal"/>
    <w:autoRedefine/>
    <w:uiPriority w:val="39"/>
    <w:semiHidden/>
    <w:unhideWhenUsed/>
    <w:rsid w:val="00C27DC4"/>
    <w:pPr>
      <w:spacing w:before="0" w:after="0"/>
      <w:ind w:left="1320"/>
    </w:pPr>
    <w:rPr>
      <w:rFonts w:asciiTheme="minorHAnsi" w:hAnsiTheme="minorHAnsi"/>
      <w:sz w:val="20"/>
      <w:szCs w:val="20"/>
    </w:rPr>
  </w:style>
  <w:style w:type="paragraph" w:styleId="TOC8">
    <w:name w:val="toc 8"/>
    <w:basedOn w:val="Normal"/>
    <w:next w:val="Normal"/>
    <w:autoRedefine/>
    <w:uiPriority w:val="39"/>
    <w:semiHidden/>
    <w:unhideWhenUsed/>
    <w:rsid w:val="00C27DC4"/>
    <w:pPr>
      <w:spacing w:before="0" w:after="0"/>
      <w:ind w:left="1540"/>
    </w:pPr>
    <w:rPr>
      <w:rFonts w:asciiTheme="minorHAnsi" w:hAnsiTheme="minorHAnsi"/>
      <w:sz w:val="20"/>
      <w:szCs w:val="20"/>
    </w:rPr>
  </w:style>
  <w:style w:type="paragraph" w:styleId="TOC9">
    <w:name w:val="toc 9"/>
    <w:basedOn w:val="Normal"/>
    <w:next w:val="Normal"/>
    <w:autoRedefine/>
    <w:uiPriority w:val="39"/>
    <w:semiHidden/>
    <w:unhideWhenUsed/>
    <w:rsid w:val="00C27DC4"/>
    <w:pPr>
      <w:spacing w:before="0" w:after="0"/>
      <w:ind w:left="1760"/>
    </w:pPr>
    <w:rPr>
      <w:rFonts w:asciiTheme="minorHAnsi" w:hAnsiTheme="minorHAnsi"/>
      <w:sz w:val="20"/>
      <w:szCs w:val="20"/>
    </w:rPr>
  </w:style>
  <w:style w:type="paragraph" w:styleId="Title">
    <w:name w:val="Title"/>
    <w:basedOn w:val="Normal"/>
    <w:next w:val="Normal"/>
    <w:link w:val="TitleChar"/>
    <w:uiPriority w:val="10"/>
    <w:qFormat/>
    <w:rsid w:val="00C34E7A"/>
    <w:pPr>
      <w:pBdr>
        <w:bottom w:val="single" w:sz="8" w:space="4" w:color="4F81BD" w:themeColor="accent1"/>
      </w:pBdr>
      <w:spacing w:before="0" w:after="300" w:line="240" w:lineRule="auto"/>
      <w:contextualSpacing/>
    </w:pPr>
    <w:rPr>
      <w:rFonts w:ascii="Helvetica" w:eastAsiaTheme="majorEastAsia" w:hAnsi="Helvetic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C34E7A"/>
    <w:rPr>
      <w:rFonts w:ascii="Helvetica" w:eastAsiaTheme="majorEastAsia" w:hAnsi="Helvetica" w:cstheme="majorBidi"/>
      <w:color w:val="17365D" w:themeColor="text2" w:themeShade="BF"/>
      <w:spacing w:val="5"/>
      <w:kern w:val="28"/>
      <w:sz w:val="52"/>
      <w:szCs w:val="52"/>
    </w:rPr>
  </w:style>
  <w:style w:type="paragraph" w:styleId="ListParagraph">
    <w:name w:val="List Paragraph"/>
    <w:basedOn w:val="Normal"/>
    <w:uiPriority w:val="34"/>
    <w:qFormat/>
    <w:rsid w:val="00DA46D7"/>
    <w:pPr>
      <w:ind w:left="720"/>
      <w:contextualSpacing/>
    </w:pPr>
  </w:style>
  <w:style w:type="character" w:styleId="Hyperlink">
    <w:name w:val="Hyperlink"/>
    <w:basedOn w:val="DefaultParagraphFont"/>
    <w:uiPriority w:val="99"/>
    <w:unhideWhenUsed/>
    <w:rsid w:val="007F3091"/>
    <w:rPr>
      <w:color w:val="0000FF" w:themeColor="hyperlink"/>
      <w:u w:val="single"/>
    </w:rPr>
  </w:style>
  <w:style w:type="character" w:customStyle="1" w:styleId="Heading3Char">
    <w:name w:val="Heading 3 Char"/>
    <w:basedOn w:val="DefaultParagraphFont"/>
    <w:link w:val="Heading3"/>
    <w:uiPriority w:val="9"/>
    <w:rsid w:val="00052D42"/>
    <w:rPr>
      <w:rFonts w:ascii="Helvetica" w:eastAsiaTheme="majorEastAsia" w:hAnsi="Helvetica" w:cstheme="majorBidi"/>
      <w:b/>
      <w:bCs/>
    </w:rPr>
  </w:style>
  <w:style w:type="paragraph" w:styleId="Footer">
    <w:name w:val="footer"/>
    <w:basedOn w:val="Normal"/>
    <w:link w:val="FooterChar"/>
    <w:uiPriority w:val="99"/>
    <w:unhideWhenUsed/>
    <w:rsid w:val="003661B0"/>
    <w:pPr>
      <w:tabs>
        <w:tab w:val="center" w:pos="4320"/>
        <w:tab w:val="right" w:pos="8640"/>
      </w:tabs>
      <w:spacing w:before="0" w:after="0" w:line="240" w:lineRule="auto"/>
    </w:pPr>
  </w:style>
  <w:style w:type="character" w:customStyle="1" w:styleId="FooterChar">
    <w:name w:val="Footer Char"/>
    <w:basedOn w:val="DefaultParagraphFont"/>
    <w:link w:val="Footer"/>
    <w:uiPriority w:val="99"/>
    <w:rsid w:val="003661B0"/>
    <w:rPr>
      <w:rFonts w:ascii="Arial" w:eastAsia="Cambria" w:hAnsi="Arial" w:cs="Times New Roman"/>
      <w:sz w:val="22"/>
    </w:rPr>
  </w:style>
  <w:style w:type="character" w:styleId="PageNumber">
    <w:name w:val="page number"/>
    <w:basedOn w:val="DefaultParagraphFont"/>
    <w:uiPriority w:val="99"/>
    <w:semiHidden/>
    <w:unhideWhenUsed/>
    <w:rsid w:val="003661B0"/>
  </w:style>
  <w:style w:type="paragraph" w:styleId="Header">
    <w:name w:val="header"/>
    <w:basedOn w:val="Normal"/>
    <w:link w:val="HeaderChar"/>
    <w:uiPriority w:val="99"/>
    <w:unhideWhenUsed/>
    <w:rsid w:val="00AC65B3"/>
    <w:pPr>
      <w:tabs>
        <w:tab w:val="center" w:pos="4320"/>
        <w:tab w:val="right" w:pos="8640"/>
      </w:tabs>
      <w:spacing w:before="0" w:after="0" w:line="240" w:lineRule="auto"/>
    </w:pPr>
  </w:style>
  <w:style w:type="character" w:customStyle="1" w:styleId="HeaderChar">
    <w:name w:val="Header Char"/>
    <w:basedOn w:val="DefaultParagraphFont"/>
    <w:link w:val="Header"/>
    <w:uiPriority w:val="99"/>
    <w:rsid w:val="00AC65B3"/>
    <w:rPr>
      <w:rFonts w:ascii="Arial" w:eastAsia="Cambria" w:hAnsi="Arial" w:cs="Times New Roman"/>
      <w:sz w:val="22"/>
    </w:rPr>
  </w:style>
  <w:style w:type="character" w:styleId="CommentReference">
    <w:name w:val="annotation reference"/>
    <w:basedOn w:val="DefaultParagraphFont"/>
    <w:uiPriority w:val="99"/>
    <w:unhideWhenUsed/>
    <w:rsid w:val="007758C2"/>
    <w:rPr>
      <w:sz w:val="16"/>
      <w:szCs w:val="16"/>
    </w:rPr>
  </w:style>
  <w:style w:type="paragraph" w:styleId="CommentText">
    <w:name w:val="annotation text"/>
    <w:basedOn w:val="Normal"/>
    <w:link w:val="CommentTextChar"/>
    <w:uiPriority w:val="99"/>
    <w:unhideWhenUsed/>
    <w:rsid w:val="007758C2"/>
    <w:pPr>
      <w:spacing w:line="240" w:lineRule="auto"/>
    </w:pPr>
    <w:rPr>
      <w:sz w:val="20"/>
      <w:szCs w:val="20"/>
    </w:rPr>
  </w:style>
  <w:style w:type="character" w:customStyle="1" w:styleId="CommentTextChar">
    <w:name w:val="Comment Text Char"/>
    <w:basedOn w:val="DefaultParagraphFont"/>
    <w:link w:val="CommentText"/>
    <w:uiPriority w:val="99"/>
    <w:rsid w:val="007758C2"/>
    <w:rPr>
      <w:rFonts w:ascii="Arial" w:eastAsia="Cambria" w:hAnsi="Arial" w:cs="Times New Roman"/>
      <w:sz w:val="20"/>
      <w:szCs w:val="20"/>
    </w:rPr>
  </w:style>
  <w:style w:type="paragraph" w:styleId="CommentSubject">
    <w:name w:val="annotation subject"/>
    <w:basedOn w:val="CommentText"/>
    <w:next w:val="CommentText"/>
    <w:link w:val="CommentSubjectChar"/>
    <w:uiPriority w:val="99"/>
    <w:semiHidden/>
    <w:unhideWhenUsed/>
    <w:rsid w:val="007758C2"/>
    <w:rPr>
      <w:b/>
      <w:bCs/>
    </w:rPr>
  </w:style>
  <w:style w:type="character" w:customStyle="1" w:styleId="CommentSubjectChar">
    <w:name w:val="Comment Subject Char"/>
    <w:basedOn w:val="CommentTextChar"/>
    <w:link w:val="CommentSubject"/>
    <w:uiPriority w:val="99"/>
    <w:semiHidden/>
    <w:rsid w:val="007758C2"/>
    <w:rPr>
      <w:rFonts w:ascii="Arial" w:eastAsia="Cambria" w:hAnsi="Arial" w:cs="Times New Roman"/>
      <w:b/>
      <w:bCs/>
      <w:sz w:val="20"/>
      <w:szCs w:val="20"/>
    </w:rPr>
  </w:style>
  <w:style w:type="paragraph" w:styleId="NoSpacing">
    <w:name w:val="No Spacing"/>
    <w:uiPriority w:val="1"/>
    <w:qFormat/>
    <w:rsid w:val="00A94937"/>
    <w:pPr>
      <w:keepNext/>
    </w:pPr>
    <w:rPr>
      <w:rFonts w:ascii="Arial" w:eastAsia="Cambria" w:hAnsi="Arial" w:cs="Times New Roman"/>
      <w:sz w:val="22"/>
    </w:rPr>
  </w:style>
  <w:style w:type="paragraph" w:styleId="Caption">
    <w:name w:val="caption"/>
    <w:basedOn w:val="Normal"/>
    <w:next w:val="Normal"/>
    <w:uiPriority w:val="35"/>
    <w:qFormat/>
    <w:rsid w:val="008B2B95"/>
    <w:rPr>
      <w:b/>
      <w:b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029898">
      <w:bodyDiv w:val="1"/>
      <w:marLeft w:val="0"/>
      <w:marRight w:val="0"/>
      <w:marTop w:val="0"/>
      <w:marBottom w:val="0"/>
      <w:divBdr>
        <w:top w:val="none" w:sz="0" w:space="0" w:color="auto"/>
        <w:left w:val="none" w:sz="0" w:space="0" w:color="auto"/>
        <w:bottom w:val="none" w:sz="0" w:space="0" w:color="auto"/>
        <w:right w:val="none" w:sz="0" w:space="0" w:color="auto"/>
      </w:divBdr>
    </w:div>
    <w:div w:id="123697780">
      <w:bodyDiv w:val="1"/>
      <w:marLeft w:val="0"/>
      <w:marRight w:val="0"/>
      <w:marTop w:val="0"/>
      <w:marBottom w:val="0"/>
      <w:divBdr>
        <w:top w:val="none" w:sz="0" w:space="0" w:color="auto"/>
        <w:left w:val="none" w:sz="0" w:space="0" w:color="auto"/>
        <w:bottom w:val="none" w:sz="0" w:space="0" w:color="auto"/>
        <w:right w:val="none" w:sz="0" w:space="0" w:color="auto"/>
      </w:divBdr>
    </w:div>
    <w:div w:id="153498214">
      <w:bodyDiv w:val="1"/>
      <w:marLeft w:val="0"/>
      <w:marRight w:val="0"/>
      <w:marTop w:val="0"/>
      <w:marBottom w:val="0"/>
      <w:divBdr>
        <w:top w:val="none" w:sz="0" w:space="0" w:color="auto"/>
        <w:left w:val="none" w:sz="0" w:space="0" w:color="auto"/>
        <w:bottom w:val="none" w:sz="0" w:space="0" w:color="auto"/>
        <w:right w:val="none" w:sz="0" w:space="0" w:color="auto"/>
      </w:divBdr>
    </w:div>
    <w:div w:id="261454035">
      <w:bodyDiv w:val="1"/>
      <w:marLeft w:val="0"/>
      <w:marRight w:val="0"/>
      <w:marTop w:val="0"/>
      <w:marBottom w:val="0"/>
      <w:divBdr>
        <w:top w:val="none" w:sz="0" w:space="0" w:color="auto"/>
        <w:left w:val="none" w:sz="0" w:space="0" w:color="auto"/>
        <w:bottom w:val="none" w:sz="0" w:space="0" w:color="auto"/>
        <w:right w:val="none" w:sz="0" w:space="0" w:color="auto"/>
      </w:divBdr>
    </w:div>
    <w:div w:id="711461148">
      <w:bodyDiv w:val="1"/>
      <w:marLeft w:val="0"/>
      <w:marRight w:val="0"/>
      <w:marTop w:val="0"/>
      <w:marBottom w:val="0"/>
      <w:divBdr>
        <w:top w:val="none" w:sz="0" w:space="0" w:color="auto"/>
        <w:left w:val="none" w:sz="0" w:space="0" w:color="auto"/>
        <w:bottom w:val="none" w:sz="0" w:space="0" w:color="auto"/>
        <w:right w:val="none" w:sz="0" w:space="0" w:color="auto"/>
      </w:divBdr>
    </w:div>
    <w:div w:id="960069110">
      <w:bodyDiv w:val="1"/>
      <w:marLeft w:val="0"/>
      <w:marRight w:val="0"/>
      <w:marTop w:val="0"/>
      <w:marBottom w:val="0"/>
      <w:divBdr>
        <w:top w:val="none" w:sz="0" w:space="0" w:color="auto"/>
        <w:left w:val="none" w:sz="0" w:space="0" w:color="auto"/>
        <w:bottom w:val="none" w:sz="0" w:space="0" w:color="auto"/>
        <w:right w:val="none" w:sz="0" w:space="0" w:color="auto"/>
      </w:divBdr>
    </w:div>
    <w:div w:id="1267079822">
      <w:bodyDiv w:val="1"/>
      <w:marLeft w:val="0"/>
      <w:marRight w:val="0"/>
      <w:marTop w:val="0"/>
      <w:marBottom w:val="0"/>
      <w:divBdr>
        <w:top w:val="none" w:sz="0" w:space="0" w:color="auto"/>
        <w:left w:val="none" w:sz="0" w:space="0" w:color="auto"/>
        <w:bottom w:val="none" w:sz="0" w:space="0" w:color="auto"/>
        <w:right w:val="none" w:sz="0" w:space="0" w:color="auto"/>
      </w:divBdr>
    </w:div>
    <w:div w:id="1325663248">
      <w:bodyDiv w:val="1"/>
      <w:marLeft w:val="0"/>
      <w:marRight w:val="0"/>
      <w:marTop w:val="0"/>
      <w:marBottom w:val="0"/>
      <w:divBdr>
        <w:top w:val="none" w:sz="0" w:space="0" w:color="auto"/>
        <w:left w:val="none" w:sz="0" w:space="0" w:color="auto"/>
        <w:bottom w:val="none" w:sz="0" w:space="0" w:color="auto"/>
        <w:right w:val="none" w:sz="0" w:space="0" w:color="auto"/>
      </w:divBdr>
    </w:div>
    <w:div w:id="1355502133">
      <w:bodyDiv w:val="1"/>
      <w:marLeft w:val="0"/>
      <w:marRight w:val="0"/>
      <w:marTop w:val="0"/>
      <w:marBottom w:val="0"/>
      <w:divBdr>
        <w:top w:val="none" w:sz="0" w:space="0" w:color="auto"/>
        <w:left w:val="none" w:sz="0" w:space="0" w:color="auto"/>
        <w:bottom w:val="none" w:sz="0" w:space="0" w:color="auto"/>
        <w:right w:val="none" w:sz="0" w:space="0" w:color="auto"/>
      </w:divBdr>
    </w:div>
    <w:div w:id="1376930599">
      <w:bodyDiv w:val="1"/>
      <w:marLeft w:val="0"/>
      <w:marRight w:val="0"/>
      <w:marTop w:val="0"/>
      <w:marBottom w:val="0"/>
      <w:divBdr>
        <w:top w:val="none" w:sz="0" w:space="0" w:color="auto"/>
        <w:left w:val="none" w:sz="0" w:space="0" w:color="auto"/>
        <w:bottom w:val="none" w:sz="0" w:space="0" w:color="auto"/>
        <w:right w:val="none" w:sz="0" w:space="0" w:color="auto"/>
      </w:divBdr>
    </w:div>
    <w:div w:id="176730982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emf"/><Relationship Id="rId10"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0235EB-8898-864D-AC7F-8B845C7FE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TotalTime>
  <Pages>20</Pages>
  <Words>8671</Words>
  <Characters>49425</Characters>
  <Application>Microsoft Macintosh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Emilia Lim</dc:creator>
  <cp:keywords/>
  <dc:description/>
  <cp:lastModifiedBy>Emilia Lim</cp:lastModifiedBy>
  <cp:revision>270</cp:revision>
  <cp:lastPrinted>2017-03-14T00:42:00Z</cp:lastPrinted>
  <dcterms:created xsi:type="dcterms:W3CDTF">2015-12-10T01:51:00Z</dcterms:created>
  <dcterms:modified xsi:type="dcterms:W3CDTF">2017-04-04T22:59:00Z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id="http://www.zotero.org/styles/the-new-england-journal-of-medicine"/&gt;&lt;hasBiblio/&gt;&lt;format class="21"/&gt;&lt;count citations="8" publications="6"/&gt;&lt;/info&gt;PAPERS2_INFO_END</vt:lpwstr>
  </property>
</Properties>
</file>